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24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Les actionnaires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{{#ASSOCIES}}</w:t>
      </w:r>
    </w:p>
    <w:p>
      <w:pPr>
        <w:spacing w:before="480" w:after="120" w:line="276" w:lineRule="auto"/>
      </w:pPr>
      <w:r>
        <w:rPr>
          <w:rFonts w:ascii="Cambria" w:cs="Cambria" w:eastAsia="Cambria" w:hAnsi="Cambria"/>
          <w:rtl w:val="0"/>
        </w:rPr>
        <w:t xml:space="preserve">{{IDENTITE_SIGNATAIRE}}.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A souscrit {{NB_PARTS}} actions d'une valeur nominale de {{VALEUR_NOMINALE}} euro(s), pour un montant total de {{MONTANT_SOUSCRIT}} euros, soit {{PCT_DETENTION}}% du capital.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numéraire : {{APPORT_NUMERAIRE}} euros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{{#HAS_APPORT_NATURE}}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nature : {{APPORTS_NATURE}} euros ({{DESC_APPORT_NATURE}})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{{/HAS_APPORT_NATURE}}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Libération : {{PCT_LIBERATION}}% soit {{MONTANT_VERSE}} euros versés, reste à libérer : {{RESTE_A_LIBERER}} euros.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{{/ASSOCIES}}</w:t>
      </w:r>
    </w:p>
    <w:p>
      <w:pPr>
        <w:keepNext/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Capital total souscrit : {{CAPITAL}} euros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Total effectivement versé : {{TOTAL_VERSE}}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Total restant à libérer : {{TOTAL_RESTE}}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keepNext/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actionnaires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