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{{CAPITAL_CHIFFRES}}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{{SIEGE_SOCIAL}}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{{DATE_SIGNATURE_COURTE}}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actions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CONSTITUTIVE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présidence{{#HAS_DG}} et de la direction générale{{/HAS_DG}}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{{#HAS_DG}}RÉSOLUTION N°1 :{{/HAS_DG}}{{^HAS_DG}}RÉSOLUTION UNIQUE :{{/HAS_DG}}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{{IDENTITE_SIGNATAIRE}}.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directeur général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{{IDENTITE_DG_2}}.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{{IDENTITE_DG_3}}.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{{REMUNERATION_DG}}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{{DG_1_CIVILITE}} {{DG_1_NOM}} {{DG_1_PRENOM}}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{{DG_1_SOCIETE_NOM}}, représentée par {{DG_1_REP_CIVILITE}} {{DG_1_REP_NOM}} {{DG_1_REP_PRENOM}}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{{DG_2_CIVILITE}} {{DG_2_NOM}} {{DG_2_PRENOM}}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{{DG_2_SOCIETE_NOM}}, représentée par {{DG_2_REP_CIVILITE}} {{DG_2_REP_NOM}} {{DG_2_REP_PRENOM}}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{{DG_3_CIVILITE}} {{DG_3_NOM}} {{DG_3_PRENOM}}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{{DG_3_SOCIETE_NOM}}, représentée par {{DG_3_REP_CIVILITE}} {{DG_3_REP_NOM}} {{DG_3_REP_PRENOM}}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