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DÉCISION DE L'ASSOCIÉ UNIQUE</w:t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jc w:val="center"/>
      </w:pPr>
      <w:r>
        <w:rPr>
          <w:b/>
          <w:i/>
          <w:sz w:val="24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4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4"/>
          <w:u w:val="single"/>
        </w:rPr>
        <w:t xml:space="preserve">DÉCISION - AFFECTATION DU RÉSULTAT</w:t>
      </w:r>
    </w:p>
    <w:p>
      <w:pPr>
        <w:spacing w:after="20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4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t xml:space="preserve">L'associé unique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