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DÉCISION DE L'ASSOCIÉ UNIQUE</w:t>
      </w:r>
    </w:p>
    <w:p>
      <w:pPr>
        <w:jc w:val="center"/>
        <w:spacing w:after="400"/>
      </w:pPr>
      <w:r>
        <w:rPr>
          <w:b/>
          <w:sz w:val="24"/>
        </w:rPr>
        <w:t xml:space="preserve">EN DATE DU {{DATE_AGE}}</w:t>
      </w:r>
    </w:p>
    <w:p>
      <w:pPr>
        <w:spacing w:after="200"/>
      </w:pPr>
      <w:r>
        <w:t xml:space="preserve">Le soussigné, {{ASSOCIE_UNIQUE}}, associé unique de la société {{SOCIETE}}, propriétaire de la totalité des {{TOTAL_PARTS_FORMATE}} parts sociales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4"/>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4"/>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4"/>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4"/>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4"/>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4"/>
          <w:u w:val="single"/>
        </w:rPr>
        <w:t xml:space="preserve">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4"/>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signé par l'associé unique.</w:t>
      </w:r>
    </w:p>
    <w:p>
      <w:pPr>
        <w:spacing w:after="400"/>
      </w:pPr>
      <w:r>
        <w:t xml:space="preserve">Fait au siège social, le {{DATE_AGE}}.</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