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</w:pPr>
      <w:r>
        <w:rPr>
          <w:b/>
          <w:sz w:val="25"/>
          <w:u w:val="single"/>
        </w:rPr>
        <w:t xml:space="preserve">ATTESTATION DE NON-OPPOSITION</w:t>
      </w:r>
    </w:p>
    <w:p>
      <w:pPr>
        <w:spacing w:after="400"/>
        <w:jc w:val="center"/>
      </w:pPr>
      <w:r>
        <w:rPr>
          <w:b/>
          <w:sz w:val="22"/>
        </w:rPr>
        <w:t xml:space="preserve">ET DE TRANSMISSION UNIVERSELLE DU PATRIMOINE</w:t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>{{ASSOCIE_SOUSSIGNE}}, {{ASSOCIE_REPRESENTANT}}, agissant au nom et pour le compte de la société {{ASSOCIE_DENOMINATION}}, {{ASSOCIE_FORME}}, dont le siège social est {{ASSOCIE_SIEGE}}, immatriculée sous le numéro {{ASSOCIE_SIREN}}, associé unique de la société {{SOCIETE}}, immatriculée sous le numéro {{SIREN}} au registre du commerce et des sociétés {{RCS_DE}},</w:t>
      </w:r>
    </w:p>
    <w:p>
      <w:pPr>
        <w:spacing w:after="200"/>
      </w:pPr>
      <w:r>
        <w:t xml:space="preserve"/>
      </w:r>
    </w:p>
    <w:p>
      <w:pPr>
        <w:jc w:val="center"/>
      </w:pPr>
      <w:r>
        <w:rPr>
          <w:b/>
          <w:sz w:val="26"/>
        </w:rPr>
        <w:t xml:space="preserve">atteste que</w:t>
      </w:r>
    </w:p>
    <w:p>
      <w:pPr>
        <w:spacing w:after="200"/>
      </w:pPr>
      <w:r>
        <w:t xml:space="preserve">la dissolution sans liquidation de la société {{SOCIETE}}, décidée le {{DATE_DISSOLUTION_FR}}, a été publiée au Bulletin officiel des annonces civiles et commerciales le {{DATE_BODACC_FR}} ;</w:t>
      </w:r>
    </w:p>
    <w:p>
      <w:pPr>
        <w:spacing w:after="200"/>
      </w:pPr>
      <w:r>
        <w:t xml:space="preserve">le délai de trente jours ouvert aux créanciers pour former opposition, en application de l'article 1844-5 alinéa 3 du code civil, a expiré le {{DATE_FIN_OPPOSITION_FR}} ;</w:t>
      </w:r>
    </w:p>
    <w:p>
      <w:pPr>
        <w:spacing w:after="200"/>
      </w:pPr>
      <w:r>
        <w:t xml:space="preserve">aucune opposition n'a été formée dans ce délai.</w:t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>En conséquence, la transmission universelle du patrimoine de la société {{SOCIETE}} au profit de son associé unique est intervenue le {{DATE_TRANSMISSION_FR}}, date à laquelle la personnalité morale de la société dissoute a pris fin. La radiation du registre du commerce et des sociétés peut être requise.</w:t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>Le déclarant certifie l'exactitude des renseignements ci-dessus et sait que toute fausse déclaration constitue un faux et un usage de faux, passibles des peines prévues aux articles 441-1 et suivants du code pénal.</w:t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>Fait à {{VILLE_SIGNATURE}}, le {{DATE_TRANSMISSION_FR}}.</w:t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>{{ASSOCIE_REPRESENTANT}}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mbria" w:hAnsi="Cambria" w:eastAsia="Cambria" w:cs="Cambria"/>
        <w:sz w:val="22"/>
        <w:szCs w:val="22"/>
        <w:lang w:val="fr-FR"/>
      </w:rPr>
    </w:rPrDefault>
    <w:pPrDefault>
      <w:pPr>
        <w:widowControl/>
        <w:spacing w:after="160" w:line="276" w:lineRule="auto"/>
        <w:jc w:val="both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