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pPr>
      <w:r>
        <w:rPr>
          <w:b/>
          <w:sz w:val="26"/>
        </w:rPr>
        <w:t xml:space="preserve">{{SOCIETE}}</w:t>
      </w:r>
    </w:p>
    <w:p>
      <w:pPr>
        <w:jc w:val="center"/>
        <w:spacing w:after="0"/>
      </w:pPr>
      <w:r>
        <w:rPr>
          <w:sz w:val="20"/>
        </w:rPr>
        <w:t xml:space="preserve">{{FORME_EN_CLAIR_CAPITALE}} au capital de {{CAPITAL_FORMATE}} euros</w:t>
      </w:r>
    </w:p>
    <w:p>
      <w:pPr>
        <w:jc w:val="center"/>
        <w:spacing w:after="0"/>
      </w:pPr>
      <w:r>
        <w:rPr>
          <w:sz w:val="20"/>
        </w:rPr>
        <w:t xml:space="preserve">Siège social : {{SIEGE_SOCIAL}}</w:t>
      </w:r>
    </w:p>
    <w:p>
      <w:pPr>
        <w:jc w:val="center"/>
        <w:spacing w:after="400"/>
      </w:pPr>
      <w:r>
        <w:rPr>
          <w:sz w:val="20"/>
        </w:rPr>
        <w:t xml:space="preserve">{{SIREN_ESPACE}} R.C.S. {{RCS_VILLE}}</w:t>
      </w:r>
    </w:p>
    <w:p>
      <w:pPr>
        <w:jc w:val="center"/>
        <w:spacing w:after="60"/>
      </w:pPr>
      <w:r>
        <w:rPr>
          <w:sz w:val="26"/>
          <w:b/>
        </w:rPr>
        <w:t xml:space="preserve">DÉCISION DU {{AIR_SIGNATAIRE_QUALITE_MAJ}}</w:t>
      </w:r>
    </w:p>
    <w:p>
      <w:pPr>
        <w:jc w:val="center"/>
        <w:spacing w:after="400"/>
      </w:pPr>
      <w:r>
        <w:rPr>
          <w:sz w:val="21"/>
        </w:rPr>
        <w:t xml:space="preserve">constatant la réalisation définitive de l'augmentation de capital</w:t>
      </w:r>
    </w:p>
    <w:p>
      <w:pPr>
        <w:spacing w:after="120"/>
      </w:pPr>
      <w:r>
        <w:t xml:space="preserve">Le soussigné, {{AIR_SIGNATAIRE_NOM}}, {{AIR_SIGNATAIRE_QUALITE}} de la société {{SOCIETE}},</w:t>
      </w:r>
    </w:p>
    <w:p>
      <w:pPr>
        <w:spacing w:after="120"/>
      </w:pPr>
      <w:r>
        <w:rPr>
          <w:b/>
        </w:rPr>
        <w:t xml:space="preserve">Vu</w:t>
      </w:r>
      <w:r>
        <w:t xml:space="preserve"> les décisions collectives des associés ayant arrêté la méthode de détermination du nombre d'actions et délégué au {{AIR_SIGNATAIRE_QUALITE}}, conformément à l'article L. 225-149 du code de commerce, les pouvoirs nécessaires pour constater la réalisation de l'augmentation de capital et modifier corrélativement les statuts ;</w:t>
      </w:r>
    </w:p>
    <w:p>
      <w:pPr>
        <w:spacing w:after="0"/>
      </w:pPr>
      <w:r>
        <w:t xml:space="preserve">{{#IS_RENONCIATION_INDIVIDUELLE}}</w:t>
      </w:r>
    </w:p>
    <w:p>
      <w:pPr>
        <w:spacing w:after="120"/>
      </w:pPr>
      <w:r>
        <w:rPr>
          <w:b/>
        </w:rPr>
        <w:t xml:space="preserve">Vu</w:t>
      </w:r>
      <w:r>
        <w:t xml:space="preserve"> les renonciations individuelles au droit préférentiel de souscription consenties par chacun des associés au profit des souscripteurs nommément désignés, et leur acceptation par ces derniers ;</w:t>
      </w:r>
    </w:p>
    <w:p>
      <w:pPr>
        <w:spacing w:after="0"/>
      </w:pPr>
      <w:r>
        <w:t xml:space="preserve">{{/IS_RENONCIATION_INDIVIDUELLE}}</w:t>
      </w:r>
    </w:p>
    <w:p>
      <w:pPr>
        <w:spacing w:after="0"/>
      </w:pPr>
      <w:r>
        <w:t xml:space="preserve">{{#IS_CONVERSION_ANTICIPEE}}</w:t>
      </w:r>
    </w:p>
    <w:p>
      <w:pPr>
        <w:spacing w:after="120"/>
      </w:pPr>
      <w:r>
        <w:rPr>
          <w:b/>
        </w:rPr>
        <w:t xml:space="preserve">Vu</w:t>
      </w:r>
      <w:r>
        <w:t xml:space="preserve"> les avenants de conversion signés avec chacun des souscripteurs ;</w:t>
      </w:r>
    </w:p>
    <w:p>
      <w:pPr>
        <w:spacing w:after="0"/>
      </w:pPr>
      <w:r>
        <w:t xml:space="preserve">{{/IS_CONVERSION_ANTICIPEE}}</w:t>
      </w:r>
    </w:p>
    <w:p>
      <w:pPr>
        <w:spacing w:after="400"/>
      </w:pPr>
      <w:r>
        <w:rPr>
          <w:b/>
        </w:rPr>
        <w:t xml:space="preserve">Vu</w:t>
      </w:r>
      <w:r>
        <w:t xml:space="preserve"> l'article L. 225-149 du code de commerce, aux termes duquel l'augmentation de capital résultant de l'exercice des droits attachés aux valeurs mobilières donnant accès au capital est définitivement réalisée du seul fait de l'exercice de ces droits et des versements correspondants, sans qu'il y ait lieu aux formalités de l'article L. 225-142 ni à celles du premier alinéa de l'article L. 225-146 ;</w:t>
      </w:r>
    </w:p>
    <w:p>
      <w:pPr>
        <w:spacing w:after="120"/>
      </w:pPr>
      <w:r>
        <w:rPr>
          <w:b/>
        </w:rPr>
        <w:t xml:space="preserve">CONSTATE CE QUI SUIT :</w:t>
      </w:r>
    </w:p>
    <w:p>
      <w:pPr>
        <w:spacing w:after="120"/>
      </w:pPr>
      <w:r>
        <w:rPr>
          <w:b/>
        </w:rPr>
        <w:t xml:space="preserve">1.</w:t>
      </w:r>
      <w:r>
        <w:t xml:space="preserve"> Les titulaires de bons de souscription d'actions dont la liste figure en annexe, au nombre de {{AIR_NOMBRE_ACCORDS}}, ont exercé la totalité de leurs droits de souscription à la date du {{AIR_DATE_FR}}.</w:t>
      </w:r>
    </w:p>
    <w:p>
      <w:pPr>
        <w:spacing w:after="120"/>
      </w:pPr>
      <w:r>
        <w:rPr>
          <w:b/>
        </w:rPr>
        <w:t xml:space="preserve">2.</w:t>
      </w:r>
      <w:r>
        <w:t xml:space="preserve"> Il a été créé de ce fait </w:t>
      </w:r>
      <w:r>
        <w:rPr>
          <w:b/>
        </w:rPr>
        <w:t xml:space="preserve">{{AIR_ACTIONS_CREEES}} actions ordinaires nouvelles</w:t>
      </w:r>
      <w:r>
        <w:t xml:space="preserve"> d'une valeur nominale de {{AIR_NOMINALE}} euro chacune, soit un montant nominal total de </w:t>
      </w:r>
      <w:r>
        <w:rPr>
          <w:b/>
        </w:rPr>
        <w:t xml:space="preserve">{{AIR_NOMINAL_CREE}} euros</w:t>
      </w:r>
      <w:r>
        <w:t xml:space="preserve">.</w:t>
      </w:r>
    </w:p>
    <w:p>
      <w:pPr>
        <w:spacing w:after="0"/>
      </w:pPr>
      <w:r>
        <w:t xml:space="preserve">{{#IS_LIBERATION_IMPUTEE}}</w:t>
      </w:r>
    </w:p>
    <w:p>
      <w:pPr>
        <w:spacing w:after="120"/>
      </w:pPr>
      <w:r>
        <w:rPr>
          <w:b/>
        </w:rPr>
        <w:t xml:space="preserve">3.</w:t>
      </w:r>
      <w:r>
        <w:t xml:space="preserve"> Ces actions sont intégralement libérées, le prix d'exercice ayant été libéré par imputation sur le prix de souscription des bons, déjà versé et encaissé par la Société.</w:t>
      </w:r>
    </w:p>
    <w:p>
      <w:pPr>
        <w:spacing w:after="0"/>
      </w:pPr>
      <w:r>
        <w:t xml:space="preserve">{{/IS_LIBERATION_IMPUTEE}}</w:t>
      </w:r>
    </w:p>
    <w:p>
      <w:pPr>
        <w:spacing w:after="400"/>
      </w:pPr>
      <w:r>
        <w:rPr>
          <w:b/>
        </w:rPr>
        <w:t xml:space="preserve">4.</w:t>
      </w:r>
      <w:r>
        <w:t xml:space="preserve"> L'augmentation de capital est définitivement réalisée à la date du {{AIR_DATE_FR}}. Le capital social est porté de {{AIR_CAPITAL_AVANT}} euros à </w:t>
      </w:r>
      <w:r>
        <w:rPr>
          <w:b/>
        </w:rPr>
        <w:t xml:space="preserve">{{AIR_CAPITAL_APRES}} euros</w:t>
      </w:r>
      <w:r>
        <w:t xml:space="preserve">{{#IS_CAPITAL_ENTIER}} ({{AIR_CAPITAL_APRES_LETTRES}} euros){{/IS_CAPITAL_ENTIER}}, divisé en </w:t>
      </w:r>
      <w:r>
        <w:rPr>
          <w:b/>
        </w:rPr>
        <w:t xml:space="preserve">{{AIR_ACTIONS_APRES}} actions</w:t>
      </w:r>
      <w:r>
        <w:t xml:space="preserve"> de {{AIR_NOMINALE}} euro de valeur nominale chacune, toutes de même catégorie et intégralement libérées.</w:t>
      </w:r>
    </w:p>
    <w:p>
      <w:pPr>
        <w:spacing w:after="120"/>
      </w:pPr>
      <w:r>
        <w:rPr>
          <w:b/>
        </w:rPr>
        <w:t xml:space="preserve">DÉCIDE EN CONSÉQUENCE :</w:t>
      </w:r>
    </w:p>
    <w:p>
      <w:pPr>
        <w:spacing w:after="120"/>
      </w:pPr>
      <w:r>
        <w:t xml:space="preserve">L'article des statuts relatif au capital social est modifié comme suit, le reste de cet article demeurant inchangé :</w:t>
      </w:r>
    </w:p>
    <w:p>
      <w:pPr>
        <w:spacing w:after="40"/>
      </w:pPr>
      <w:r>
        <w:t xml:space="preserve">« Le capital social est fixé à la somme de {{AIR_CAPITAL_APRES}} euros{{#IS_CAPITAL_ENTIER}} ({{AIR_CAPITAL_APRES_LETTRES}} euros){{/IS_CAPITAL_ENTIER}}.</w:t>
      </w:r>
    </w:p>
    <w:p>
      <w:pPr>
        <w:spacing w:after="400"/>
      </w:pPr>
      <w:r>
        <w:t xml:space="preserve">Il est divisé en {{AIR_ACTIONS_APRES}} actions de {{AIR_NOMINALE}} euro de valeur nominale chacune, toutes de même catégorie, intégralement souscrites et libérées. »</w:t>
      </w:r>
    </w:p>
    <w:p>
      <w:pPr>
        <w:spacing w:after="800"/>
      </w:pPr>
      <w:r>
        <w:t xml:space="preserve">Tous pouvoirs sont donnés au porteur d'un original ou d'une copie des présentes à l'effet d'accomplir les formalités de publicité et de dépôt.</w:t>
      </w:r>
    </w:p>
    <w:p>
      <w:pPr>
        <w:spacing w:after="800"/>
      </w:pPr>
      <w:r>
        <w:t xml:space="preserve">Fait à {{VILLE_SIGNATURE}}, le {{AIR_DATE_FR}}.</w:t>
      </w:r>
    </w:p>
    <w:p>
      <w:pPr>
        <w:spacing w:after="0"/>
      </w:pPr>
      <w:r>
        <w:t xml:space="preserve">{{AIR_SIGNATAIRE_NOM}}</w:t>
      </w:r>
    </w:p>
    <w:p>
      <w:pPr>
        <w:spacing w:after="400"/>
      </w:pPr>
      <w:r>
        <w:t xml:space="preserve">{{AIR_SIGNATAIRE_QUALITE_TETE}}</w:t>
      </w:r>
    </w:p>
    <w:p>
      <w:pPr>
        <w:spacing w:before="400" w:after="120"/>
      </w:pPr>
      <w:r>
        <w:rPr>
          <w:b/>
        </w:rPr>
        <w:t xml:space="preserve">ANNEXE - Titulaires ayant exercé leurs bons</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1350"/>
        <w:gridCol w:w="1500"/>
        <w:gridCol w:w="1450"/>
        <w:gridCol w:w="1100"/>
        <w:gridCol w:w="1126"/>
      </w:tblGrid>
      <w:tr>
        <w:tc>
          <w:tcPr>
            <w:tcW w:w="2500" w:type="dxa"/>
          </w:tcPr>
          <w:p>
            <w:pPr>
              <w:spacing w:after="40"/>
            </w:pPr>
            <w:r>
              <w:rPr>
                <w:sz w:val="19"/>
                <w:b/>
              </w:rPr>
              <w:t xml:space="preserve">Souscripteur</w:t>
            </w:r>
          </w:p>
        </w:tc>
        <w:tc>
          <w:tcPr>
            <w:tcW w:w="1350" w:type="dxa"/>
          </w:tcPr>
          <w:p>
            <w:pPr>
              <w:spacing w:after="40"/>
            </w:pPr>
            <w:r>
              <w:rPr>
                <w:sz w:val="19"/>
                <w:b/>
              </w:rPr>
              <w:t xml:space="preserve">Montant</w:t>
            </w:r>
          </w:p>
        </w:tc>
        <w:tc>
          <w:tcPr>
            <w:tcW w:w="1500" w:type="dxa"/>
          </w:tcPr>
          <w:p>
            <w:pPr>
              <w:spacing w:after="40"/>
            </w:pPr>
            <w:r>
              <w:rPr>
                <w:sz w:val="19"/>
                <w:b/>
              </w:rPr>
              <w:t xml:space="preserve">Valorisation</w:t>
            </w:r>
          </w:p>
        </w:tc>
        <w:tc>
          <w:tcPr>
            <w:tcW w:w="1450" w:type="dxa"/>
          </w:tcPr>
          <w:p>
            <w:pPr>
              <w:spacing w:after="40"/>
            </w:pPr>
            <w:r>
              <w:rPr>
                <w:sz w:val="19"/>
                <w:b/>
              </w:rPr>
              <w:t xml:space="preserve">Prix par action</w:t>
            </w:r>
          </w:p>
        </w:tc>
        <w:tc>
          <w:tcPr>
            <w:tcW w:w="1100" w:type="dxa"/>
          </w:tcPr>
          <w:p>
            <w:pPr>
              <w:spacing w:after="40"/>
            </w:pPr>
            <w:r>
              <w:rPr>
                <w:sz w:val="19"/>
                <w:b/>
              </w:rPr>
              <w:t xml:space="preserve">Actions</w:t>
            </w:r>
          </w:p>
        </w:tc>
        <w:tc>
          <w:tcPr>
            <w:tcW w:w="1126" w:type="dxa"/>
          </w:tcPr>
          <w:p>
            <w:pPr>
              <w:spacing w:after="40"/>
            </w:pPr>
            <w:r>
              <w:rPr>
                <w:sz w:val="19"/>
                <w:b/>
              </w:rPr>
              <w:t xml:space="preserve">Part</w:t>
            </w:r>
          </w:p>
        </w:tc>
      </w:tr>
      <w:tr>
        <w:tc>
          <w:tcPr>
            <w:tcW w:w="2500" w:type="dxa"/>
          </w:tcPr>
          <w:p>
            <w:pPr>
              <w:spacing w:after="40"/>
            </w:pPr>
            <w:r>
              <w:rPr>
                <w:sz w:val="19"/>
              </w:rPr>
              <w:t xml:space="preserve">{{#AIR_LIGNES}}{{INVESTISSEUR}}</w:t>
            </w:r>
          </w:p>
        </w:tc>
        <w:tc>
          <w:tcPr>
            <w:tcW w:w="1350" w:type="dxa"/>
          </w:tcPr>
          <w:p>
            <w:pPr>
              <w:spacing w:after="40"/>
            </w:pPr>
            <w:r>
              <w:rPr>
                <w:sz w:val="19"/>
              </w:rPr>
              <w:t xml:space="preserve">{{MONTANT}}</w:t>
            </w:r>
          </w:p>
        </w:tc>
        <w:tc>
          <w:tcPr>
            <w:tcW w:w="1500" w:type="dxa"/>
          </w:tcPr>
          <w:p>
            <w:pPr>
              <w:spacing w:after="40"/>
            </w:pPr>
            <w:r>
              <w:rPr>
                <w:sz w:val="19"/>
              </w:rPr>
              <w:t xml:space="preserve">{{VALORISATION}}</w:t>
            </w:r>
          </w:p>
        </w:tc>
        <w:tc>
          <w:tcPr>
            <w:tcW w:w="1450" w:type="dxa"/>
          </w:tcPr>
          <w:p>
            <w:pPr>
              <w:spacing w:after="40"/>
            </w:pPr>
            <w:r>
              <w:rPr>
                <w:sz w:val="19"/>
              </w:rPr>
              <w:t xml:space="preserve">{{PRIX}}</w:t>
            </w:r>
          </w:p>
        </w:tc>
        <w:tc>
          <w:tcPr>
            <w:tcW w:w="1100" w:type="dxa"/>
          </w:tcPr>
          <w:p>
            <w:pPr>
              <w:spacing w:after="40"/>
            </w:pPr>
            <w:r>
              <w:rPr>
                <w:sz w:val="19"/>
              </w:rPr>
              <w:t xml:space="preserve">{{ACTIONS}}</w:t>
            </w:r>
          </w:p>
        </w:tc>
        <w:tc>
          <w:tcPr>
            <w:tcW w:w="1126" w:type="dxa"/>
          </w:tcPr>
          <w:p>
            <w:pPr>
              <w:spacing w:after="40"/>
            </w:pPr>
            <w:r>
              <w:rPr>
                <w:sz w:val="19"/>
              </w:rPr>
              <w:t xml:space="preserve">{{PART}}{{/AIR_LIGNES}}</w:t>
            </w:r>
          </w:p>
        </w:tc>
      </w:tr>
    </w:tbl>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