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0"/>
      </w:pPr>
      <w:r>
        <w:rPr>
          <w:b/>
          <w:sz w:val="26"/>
        </w:rPr>
        <w:t xml:space="preserve">{{SOCIETE}}</w:t>
      </w:r>
    </w:p>
    <w:p>
      <w:pPr>
        <w:jc w:val="center"/>
        <w:spacing w:after="0"/>
      </w:pPr>
      <w:r>
        <w:rPr>
          <w:sz w:val="20"/>
        </w:rPr>
        <w:t xml:space="preserve">{{FORME_EN_CLAIR_CAPITALE}} au capital de {{CAPITAL_FORMATE}} euros</w:t>
      </w:r>
    </w:p>
    <w:p>
      <w:pPr>
        <w:jc w:val="center"/>
        <w:spacing w:after="0"/>
      </w:pPr>
      <w:r>
        <w:rPr>
          <w:sz w:val="20"/>
        </w:rPr>
        <w:t xml:space="preserve">Siège social : {{SIEGE_SOCIAL}}</w:t>
      </w:r>
    </w:p>
    <w:p>
      <w:pPr>
        <w:jc w:val="center"/>
        <w:spacing w:after="400"/>
      </w:pPr>
      <w:r>
        <w:rPr>
          <w:sz w:val="20"/>
        </w:rPr>
        <w:t xml:space="preserve">{{SIREN_ESPACE}} R.C.S. {{RCS_VILLE}}</w:t>
      </w:r>
    </w:p>
    <w:p>
      <w:pPr>
        <w:jc w:val="center"/>
        <w:spacing w:after="400"/>
      </w:pPr>
      <w:r>
        <w:rPr>
          <w:sz w:val="26"/>
          <w:b/>
        </w:rPr>
        <w:t xml:space="preserve">PROCÈS-VERBAL DES DÉCISIONS COLLECTIVES DES ASSOCIÉS</w:t>
      </w:r>
    </w:p>
    <w:p>
      <w:pPr>
        <w:spacing w:after="400"/>
      </w:pPr>
      <w:r>
        <w:t xml:space="preserve">Le {{DATE_AGE}}, les associés de la société {{SOCIETE}} se sont réunis au siège social, sur convocation du {{AIR_SIGNATAIRE_QUALITE}}.</w:t>
      </w:r>
    </w:p>
    <w:p>
      <w:pPr>
        <w:spacing w:after="400"/>
      </w:pPr>
      <w:r>
        <w:t xml:space="preserve">Sont présents ou représentés les associés figurant sur la feuille de présence annexée, propriétaires ensemble de {{TOTAL_PARTS_FORMATE}} {{MOT_TITRES}} représentant la totalité du capital et des droits de vote. La collectivité des associés peut valablement délibérer.</w:t>
      </w:r>
    </w:p>
    <w:p>
      <w:pPr>
        <w:spacing w:after="400"/>
      </w:pPr>
      <w:r>
        <w:t xml:space="preserve">{{AIR_SIGNATAIRE_NOM}} préside la séance en sa qualité de {{AIR_SIGNATAIRE_QUALITE}}.</w:t>
      </w:r>
    </w:p>
    <w:p>
      <w:pPr>
        <w:spacing w:after="120"/>
      </w:pPr>
      <w:r>
        <w:rPr>
          <w:b/>
        </w:rPr>
        <w:t xml:space="preserve">RAPPORT DU {{AIR_SIGNATAIRE_QUALITE_MAJ}}</w:t>
      </w:r>
    </w:p>
    <w:p>
      <w:pPr>
        <w:spacing w:after="120"/>
      </w:pPr>
      <w:r>
        <w:t xml:space="preserve">Le {{AIR_SIGNATAIRE_QUALITE}} rappelle que la Société a conclu avec les souscripteurs figurant au tableau annexé des accords portant émission de bons de souscription d'actions, pour un montant total de {{AIR_TOTAL_INVESTI}} euros, intégralement versé et encaissé par la Société.</w:t>
      </w:r>
    </w:p>
    <w:p>
      <w:pPr>
        <w:spacing w:after="0"/>
      </w:pPr>
      <w:r>
        <w:t xml:space="preserve">{{#IS_RATIFICATION}}</w:t>
      </w:r>
    </w:p>
    <w:p>
      <w:pPr>
        <w:spacing w:after="120"/>
      </w:pPr>
      <w:r>
        <w:t xml:space="preserve">Il expose que ces accords ont été signés en son nom, au nom de la Société, sans qu'une décision collective préalable ait été adoptée par les associés, alors que l'émission de valeurs mobilières donnant accès au capital relève de leur compétence. Il propose en conséquence de décider cette émission et de ratifier les engagements pris, avec effet à la date de signature de chaque accord.</w:t>
      </w:r>
    </w:p>
    <w:p>
      <w:pPr>
        <w:spacing w:after="0"/>
      </w:pPr>
      <w:r>
        <w:t xml:space="preserve">{{/IS_RATIFICATION}}</w:t>
      </w:r>
    </w:p>
    <w:p>
      <w:pPr>
        <w:spacing w:after="0"/>
      </w:pPr>
      <w:r>
        <w:t xml:space="preserve">{{#IS_RENONCIATION_INDIVIDUELLE}}</w:t>
      </w:r>
    </w:p>
    <w:p>
      <w:pPr>
        <w:spacing w:after="120"/>
      </w:pPr>
      <w:r>
        <w:t xml:space="preserve">Il précise que chaque associé a, par acte séparé, renoncé à titre individuel à son droit préférentiel de souscription au profit des souscripteurs nommément désignés, de sorte que l'émission n'emporte pas suppression de ce droit.</w:t>
      </w:r>
    </w:p>
    <w:p>
      <w:pPr>
        <w:spacing w:after="0"/>
      </w:pPr>
      <w:r>
        <w:t xml:space="preserve">{{/IS_RENONCIATION_INDIVIDUELLE}}</w:t>
      </w:r>
    </w:p>
    <w:p>
      <w:pPr>
        <w:spacing w:after="0"/>
      </w:pPr>
      <w:r>
        <w:t xml:space="preserve">{{#IS_DIVISION}}</w:t>
      </w:r>
    </w:p>
    <w:p>
      <w:pPr>
        <w:spacing w:after="120"/>
      </w:pPr>
      <w:r>
        <w:t xml:space="preserve">Il indique enfin que la valeur nominale actuelle, fixée à {{AIR_NOMINALE_AVANT}} euros, ne permet pas d'attribuer à chaque souscripteur un nombre entier d'actions correspondant à ses droits, et propose de la diviser préalablement par {{AIR_DIVISEUR}}.</w:t>
      </w:r>
    </w:p>
    <w:p>
      <w:pPr>
        <w:spacing w:after="0"/>
      </w:pPr>
      <w:r>
        <w:t xml:space="preserve">{{/IS_DIVISION}}</w:t>
      </w:r>
    </w:p>
    <w:p>
      <w:pPr>
        <w:spacing w:after="400"/>
      </w:pPr>
      <w:r>
        <w:t xml:space="preserve">Après discussion, les décisions suivantes sont mises aux voix.</w:t>
      </w:r>
    </w:p>
    <w:p>
      <w:pPr>
        <w:spacing w:after="0"/>
      </w:pPr>
      <w:r>
        <w:t xml:space="preserve">{{#IS_DIVISION}}</w:t>
      </w:r>
    </w:p>
    <w:p>
      <w:pPr>
        <w:spacing w:after="60"/>
      </w:pPr>
      <w:r>
        <w:rPr>
          <w:b/>
        </w:rPr>
        <w:t xml:space="preserve">PREMIÈRE DÉCISION - Division de la valeur nominale</w:t>
      </w:r>
    </w:p>
    <w:p>
      <w:pPr>
        <w:spacing w:after="60"/>
      </w:pPr>
      <w:r>
        <w:t xml:space="preserve">La collectivité des associés décide de diviser par {{AIR_DIVISEUR}} ({{AIR_DIVISEUR_LETTRES}}) la valeur nominale des {{MOT_TITRES}} composant le capital social, laquelle est ramenée de {{AIR_NOMINALE_AVANT}} euros à {{AIR_NOMINALE}} euros.</w:t>
      </w:r>
    </w:p>
    <w:p>
      <w:pPr>
        <w:spacing w:after="60"/>
      </w:pPr>
      <w:r>
        <w:t xml:space="preserve">En conséquence, les {{MOT_TITRES}} existantes sont échangées contre {{AIR_ACTIONS_AVANT}} actions nouvelles. Le montant du capital social demeure inchangé, à {{AIR_CAPITAL_AVANT}} euros.</w:t>
      </w:r>
    </w:p>
    <w:p>
      <w:pPr>
        <w:spacing w:after="400"/>
      </w:pPr>
      <w:r>
        <w:t xml:space="preserve">Cette décision est adoptée à l'unanimité.</w:t>
      </w:r>
    </w:p>
    <w:p>
      <w:pPr>
        <w:spacing w:after="0"/>
      </w:pPr>
      <w:r>
        <w:t xml:space="preserve">{{/IS_DIVISION}}</w:t>
      </w:r>
    </w:p>
    <w:p>
      <w:pPr>
        <w:spacing w:after="0"/>
      </w:pPr>
      <w:r>
        <w:t xml:space="preserve">{{#IS_RATIFICATION}}</w:t>
      </w:r>
    </w:p>
    <w:p>
      <w:pPr>
        <w:spacing w:after="60"/>
      </w:pPr>
      <w:r>
        <w:rPr>
          <w:b/>
        </w:rPr>
        <w:t xml:space="preserve">DÉCISION - Émission des bons de souscription d'actions et ratification</w:t>
      </w:r>
    </w:p>
    <w:p>
      <w:pPr>
        <w:spacing w:after="60"/>
      </w:pPr>
      <w:r>
        <w:t xml:space="preserve">La collectivité des associés, connaissance prise du rapport du {{AIR_SIGNATAIRE_QUALITE}} et des accords annexés,</w:t>
      </w:r>
    </w:p>
    <w:p>
      <w:pPr>
        <w:spacing w:after="60"/>
      </w:pPr>
      <w:r>
        <w:rPr>
          <w:b/>
        </w:rPr>
        <w:t xml:space="preserve">décide</w:t>
      </w:r>
      <w:r>
        <w:t xml:space="preserve"> l'émission, au profit des souscripteurs nommément désignés au tableau annexé, de bons de souscription d'actions, aux conditions de prix, de conversion et d'exercice stipulées dans chacun de ces accords, dont les termes sont expressément approuvés ;</w:t>
      </w:r>
    </w:p>
    <w:p>
      <w:pPr>
        <w:spacing w:after="60"/>
      </w:pPr>
      <w:r>
        <w:rPr>
          <w:b/>
        </w:rPr>
        <w:t xml:space="preserve">ratifie</w:t>
      </w:r>
      <w:r>
        <w:t xml:space="preserve"> expressément, avec effet à la date de signature de chaque accord, les engagements souscrits en son nom par le {{AIR_SIGNATAIRE_QUALITE}} à ce titre, ainsi que les souscriptions intervenues et les versements reçus, conformément à l'article 1156 alinéa 3 du code civil ;</w:t>
      </w:r>
    </w:p>
    <w:p>
      <w:pPr>
        <w:spacing w:after="60"/>
      </w:pPr>
      <w:r>
        <w:rPr>
          <w:b/>
        </w:rPr>
        <w:t xml:space="preserve">constate</w:t>
      </w:r>
      <w:r>
        <w:t xml:space="preserve"> que la cause d'irrégularité affectant ces émissions a ainsi cessé d'exister, au sens de l'article L. 235-3 du code de commerce.</w:t>
      </w:r>
    </w:p>
    <w:p>
      <w:pPr>
        <w:spacing w:after="400"/>
      </w:pPr>
      <w:r>
        <w:t xml:space="preserve">Cette décision est adoptée à l'unanimité.</w:t>
      </w:r>
    </w:p>
    <w:p>
      <w:pPr>
        <w:spacing w:after="0"/>
      </w:pPr>
      <w:r>
        <w:t xml:space="preserve">{{/IS_RATIFICATION}}</w:t>
      </w:r>
    </w:p>
    <w:p>
      <w:pPr>
        <w:spacing w:after="0"/>
      </w:pPr>
      <w:r>
        <w:t xml:space="preserve">{{#IS_RENONCIATION_INDIVIDUELLE}}</w:t>
      </w:r>
    </w:p>
    <w:p>
      <w:pPr>
        <w:spacing w:after="60"/>
      </w:pPr>
      <w:r>
        <w:rPr>
          <w:b/>
        </w:rPr>
        <w:t xml:space="preserve">DÉCISION - Renonciations individuelles au droit préférentiel de souscription</w:t>
      </w:r>
    </w:p>
    <w:p>
      <w:pPr>
        <w:spacing w:after="60"/>
      </w:pPr>
      <w:r>
        <w:t xml:space="preserve">La collectivité des associés </w:t>
      </w:r>
      <w:r>
        <w:rPr>
          <w:b/>
        </w:rPr>
        <w:t xml:space="preserve">constate</w:t>
      </w:r>
      <w:r>
        <w:t xml:space="preserve"> que chacun des associés a, par acte séparé annexé au présent procès-verbal, renoncé à titre individuel à son droit préférentiel de souscription au profit des souscripteurs nommément désignés, conformément à l'article L. 225-132 alinéa 5 du code de commerce, et que ces renonciations ont été acceptées par leurs bénéficiaires.</w:t>
      </w:r>
    </w:p>
    <w:p>
      <w:pPr>
        <w:spacing w:after="60"/>
      </w:pPr>
      <w:r>
        <w:t xml:space="preserve">Elle </w:t>
      </w:r>
      <w:r>
        <w:rPr>
          <w:b/>
        </w:rPr>
        <w:t xml:space="preserve">constate en conséquence</w:t>
      </w:r>
      <w:r>
        <w:t xml:space="preserve"> que la présente émission n'emporte pas suppression du droit préférentiel de souscription au sens des articles L. 225-135 et L. 225-138 du code de commerce, et qu'elle n'appelle donc pas l'établissement du rapport spécial du commissaire aux comptes prévu par ces textes.</w:t>
      </w:r>
    </w:p>
    <w:p>
      <w:pPr>
        <w:spacing w:after="400"/>
      </w:pPr>
      <w:r>
        <w:t xml:space="preserve">Cette décision est adoptée à l'unanimité.</w:t>
      </w:r>
    </w:p>
    <w:p>
      <w:pPr>
        <w:spacing w:after="0"/>
      </w:pPr>
      <w:r>
        <w:t xml:space="preserve">{{/IS_RENONCIATION_INDIVIDUELLE}}</w:t>
      </w:r>
    </w:p>
    <w:p>
      <w:pPr>
        <w:spacing w:after="60"/>
      </w:pPr>
      <w:r>
        <w:rPr>
          <w:b/>
        </w:rPr>
        <w:t xml:space="preserve">DÉCISION - Modalités de conversion et règle d'arrondi</w:t>
      </w:r>
    </w:p>
    <w:p>
      <w:pPr>
        <w:spacing w:after="60"/>
      </w:pPr>
      <w:r>
        <w:t xml:space="preserve">La collectivité des associés constate que chaque accord retient la valorisation qui lui est propre, et que le nombre d'actions revenant à chaque souscripteur s'obtient en divisant son investissement par un prix de souscription égal à cette valorisation rapportée au nombre total d'actions composant le capital après conversion de l'ensemble des bons.</w:t>
      </w:r>
    </w:p>
    <w:p>
      <w:pPr>
        <w:spacing w:after="60"/>
      </w:pPr>
      <w:r>
        <w:t xml:space="preserve">Elle arrête en conséquence la méthode suivante, commune à tous les accords :</w:t>
      </w:r>
    </w:p>
    <w:p>
      <w:pPr>
        <w:ind w:left="283" w:hanging="283"/>
        <w:spacing w:after="40"/>
      </w:pPr>
      <w:r>
        <w:t xml:space="preserve">- le nombre total d'actions après conversion est égal au nombre d'actions existantes divisé par la différence entre l'unité et la somme, pour l'ensemble des souscripteurs, du rapport entre le montant investi et la valorisation qui lui est applicable ;</w:t>
      </w:r>
    </w:p>
    <w:p>
      <w:pPr>
        <w:ind w:left="283" w:hanging="283"/>
        <w:spacing w:after="40"/>
      </w:pPr>
      <w:r>
        <w:t xml:space="preserve">- le prix de souscription applicable à chaque souscripteur est égal à sa valorisation divisée par ce nombre total d'actions ;</w:t>
      </w:r>
    </w:p>
    <w:p>
      <w:pPr>
        <w:ind w:left="283" w:hanging="283"/>
        <w:spacing w:after="60"/>
      </w:pPr>
      <w:r>
        <w:t xml:space="preserve">- le nombre d'actions attribué à chaque souscripteur est arrondi à l'entier le plus proche, la fraction d'action restant sans effet et le souscripteur en faisant son affaire personnelle.</w:t>
      </w:r>
    </w:p>
    <w:p>
      <w:pPr>
        <w:spacing w:after="60"/>
      </w:pPr>
      <w:r>
        <w:t xml:space="preserve">Le tableau annexé applique cette méthode et arrête, pour chaque souscripteur, le nombre d'actions à créer, soit {{AIR_ACTIONS_CREEES}} actions au total.</w:t>
      </w:r>
    </w:p>
    <w:p>
      <w:pPr>
        <w:spacing w:after="400"/>
      </w:pPr>
      <w:r>
        <w:t xml:space="preserve">Cette décision est adoptée à l'unanimité.</w:t>
      </w:r>
    </w:p>
    <w:p>
      <w:pPr>
        <w:spacing w:after="60"/>
      </w:pPr>
      <w:r>
        <w:rPr>
          <w:b/>
        </w:rPr>
        <w:t xml:space="preserve">DÉCISION - Délégation au {{AIR_SIGNATAIRE_QUALITE}}</w:t>
      </w:r>
    </w:p>
    <w:p>
      <w:pPr>
        <w:spacing w:after="60"/>
      </w:pPr>
      <w:r>
        <w:t xml:space="preserve">La collectivité des associés délègue au {{AIR_SIGNATAIRE_QUALITE}}, conformément à l'article L. 225-149 du code de commerce, tous pouvoirs à l'effet de constater le nombre et le montant nominal des actions créées au profit des titulaires de bons, de constater la réalisation définitive de l'augmentation de capital qui en résulte, et d'apporter aux statuts les modifications corrélatives portant sur le montant du capital social et le nombre d'actions qui le composent.</w:t>
      </w:r>
    </w:p>
    <w:p>
      <w:pPr>
        <w:spacing w:after="60"/>
      </w:pPr>
      <w:r>
        <w:t xml:space="preserve">Cette délégation est consentie pour une durée de vingt-six mois.</w:t>
      </w:r>
    </w:p>
    <w:p>
      <w:pPr>
        <w:spacing w:after="400"/>
      </w:pPr>
      <w:r>
        <w:t xml:space="preserve">Cette décision est adoptée à l'unanimité.</w:t>
      </w:r>
    </w:p>
    <w:p>
      <w:pPr>
        <w:spacing w:after="60"/>
      </w:pPr>
      <w:r>
        <w:rPr>
          <w:b/>
        </w:rPr>
        <w:t xml:space="preserve">DÉCISION - Pouvoirs</w:t>
      </w:r>
    </w:p>
    <w:p>
      <w:pPr>
        <w:spacing w:after="60"/>
      </w:pPr>
      <w:r>
        <w:t xml:space="preserve">La collectivité des associés donne tous pouvoirs au porteur d'un original, d'une copie ou d'un extrait du présent procès-verbal à l'effet d'accomplir les formalités de publicité, de dépôt et d'inscription prévues par la loi.</w:t>
      </w:r>
    </w:p>
    <w:p>
      <w:pPr>
        <w:spacing w:after="400"/>
      </w:pPr>
      <w:r>
        <w:t xml:space="preserve">Cette décision est adoptée à l'unanimité.</w:t>
      </w:r>
    </w:p>
    <w:p>
      <w:pPr>
        <w:spacing w:after="800"/>
      </w:pPr>
      <w:r>
        <w:t xml:space="preserve">L'ordre du jour étant épuisé, la séance est levée.</w:t>
      </w:r>
    </w:p>
    <w:p>
      <w:pPr>
        <w:spacing w:after="0"/>
      </w:pPr>
      <w:r>
        <w:t xml:space="preserve">{{#ASSOCIES}}</w:t>
      </w:r>
    </w:p>
    <w:p>
      <w:pPr>
        <w:spacing w:after="400"/>
      </w:pPr>
      <w:r>
        <w:t xml:space="preserve">{{nomSignature}}</w:t>
      </w:r>
    </w:p>
    <w:p>
      <w:pPr>
        <w:spacing w:after="0"/>
      </w:pPr>
      <w:r>
        <w:t xml:space="preserve">{{/ASSOCIES}}</w:t>
      </w:r>
    </w:p>
    <w:p>
      <w:pPr>
        <w:spacing w:before="400" w:after="120"/>
      </w:pPr>
      <w:r>
        <w:rPr>
          <w:b/>
        </w:rPr>
        <w:t xml:space="preserve">ANNEXE - Souscripteurs, valorisations et actions à créer</w:t>
      </w:r>
    </w:p>
    <w:tbl>
      <w:tblPr>
        <w:tblW w:w="0" w:type="auto"/>
        <w:tblBorders>
          <w:top w:val="single" w:sz="4" w:color="BFBFBF"/>
          <w:left w:val="single" w:sz="4" w:color="BFBFBF"/>
          <w:bottom w:val="single" w:sz="4" w:color="BFBFBF"/>
          <w:right w:val="single" w:sz="4" w:color="BFBFBF"/>
          <w:insideH w:val="single" w:sz="4" w:color="BFBFBF"/>
          <w:insideV w:val="single" w:sz="4" w:color="BFBFBF"/>
        </w:tblBorders>
      </w:tblPr>
      <w:tblGrid>
        <w:gridCol w:w="2500"/>
        <w:gridCol w:w="1350"/>
        <w:gridCol w:w="1500"/>
        <w:gridCol w:w="1450"/>
        <w:gridCol w:w="1100"/>
        <w:gridCol w:w="1126"/>
      </w:tblGrid>
      <w:tr>
        <w:tc>
          <w:tcPr>
            <w:tcW w:w="2500" w:type="dxa"/>
          </w:tcPr>
          <w:p>
            <w:pPr>
              <w:spacing w:after="40"/>
            </w:pPr>
            <w:r>
              <w:rPr>
                <w:sz w:val="19"/>
                <w:b/>
              </w:rPr>
              <w:t xml:space="preserve">Souscripteur</w:t>
            </w:r>
          </w:p>
        </w:tc>
        <w:tc>
          <w:tcPr>
            <w:tcW w:w="1350" w:type="dxa"/>
          </w:tcPr>
          <w:p>
            <w:pPr>
              <w:spacing w:after="40"/>
            </w:pPr>
            <w:r>
              <w:rPr>
                <w:sz w:val="19"/>
                <w:b/>
              </w:rPr>
              <w:t xml:space="preserve">Montant</w:t>
            </w:r>
          </w:p>
        </w:tc>
        <w:tc>
          <w:tcPr>
            <w:tcW w:w="1500" w:type="dxa"/>
          </w:tcPr>
          <w:p>
            <w:pPr>
              <w:spacing w:after="40"/>
            </w:pPr>
            <w:r>
              <w:rPr>
                <w:sz w:val="19"/>
                <w:b/>
              </w:rPr>
              <w:t xml:space="preserve">Valorisation</w:t>
            </w:r>
          </w:p>
        </w:tc>
        <w:tc>
          <w:tcPr>
            <w:tcW w:w="1450" w:type="dxa"/>
          </w:tcPr>
          <w:p>
            <w:pPr>
              <w:spacing w:after="40"/>
            </w:pPr>
            <w:r>
              <w:rPr>
                <w:sz w:val="19"/>
                <w:b/>
              </w:rPr>
              <w:t xml:space="preserve">Prix par action</w:t>
            </w:r>
          </w:p>
        </w:tc>
        <w:tc>
          <w:tcPr>
            <w:tcW w:w="1100" w:type="dxa"/>
          </w:tcPr>
          <w:p>
            <w:pPr>
              <w:spacing w:after="40"/>
            </w:pPr>
            <w:r>
              <w:rPr>
                <w:sz w:val="19"/>
                <w:b/>
              </w:rPr>
              <w:t xml:space="preserve">Actions</w:t>
            </w:r>
          </w:p>
        </w:tc>
        <w:tc>
          <w:tcPr>
            <w:tcW w:w="1126" w:type="dxa"/>
          </w:tcPr>
          <w:p>
            <w:pPr>
              <w:spacing w:after="40"/>
            </w:pPr>
            <w:r>
              <w:rPr>
                <w:sz w:val="19"/>
                <w:b/>
              </w:rPr>
              <w:t xml:space="preserve">Part</w:t>
            </w:r>
          </w:p>
        </w:tc>
      </w:tr>
      <w:tr>
        <w:tc>
          <w:tcPr>
            <w:tcW w:w="2500" w:type="dxa"/>
          </w:tcPr>
          <w:p>
            <w:pPr>
              <w:spacing w:after="40"/>
            </w:pPr>
            <w:r>
              <w:rPr>
                <w:sz w:val="19"/>
              </w:rPr>
              <w:t xml:space="preserve">{{#AIR_LIGNES}}{{INVESTISSEUR}}</w:t>
            </w:r>
          </w:p>
        </w:tc>
        <w:tc>
          <w:tcPr>
            <w:tcW w:w="1350" w:type="dxa"/>
          </w:tcPr>
          <w:p>
            <w:pPr>
              <w:spacing w:after="40"/>
            </w:pPr>
            <w:r>
              <w:rPr>
                <w:sz w:val="19"/>
              </w:rPr>
              <w:t xml:space="preserve">{{MONTANT}}</w:t>
            </w:r>
          </w:p>
        </w:tc>
        <w:tc>
          <w:tcPr>
            <w:tcW w:w="1500" w:type="dxa"/>
          </w:tcPr>
          <w:p>
            <w:pPr>
              <w:spacing w:after="40"/>
            </w:pPr>
            <w:r>
              <w:rPr>
                <w:sz w:val="19"/>
              </w:rPr>
              <w:t xml:space="preserve">{{VALORISATION}}</w:t>
            </w:r>
          </w:p>
        </w:tc>
        <w:tc>
          <w:tcPr>
            <w:tcW w:w="1450" w:type="dxa"/>
          </w:tcPr>
          <w:p>
            <w:pPr>
              <w:spacing w:after="40"/>
            </w:pPr>
            <w:r>
              <w:rPr>
                <w:sz w:val="19"/>
              </w:rPr>
              <w:t xml:space="preserve">{{PRIX}}</w:t>
            </w:r>
          </w:p>
        </w:tc>
        <w:tc>
          <w:tcPr>
            <w:tcW w:w="1100" w:type="dxa"/>
          </w:tcPr>
          <w:p>
            <w:pPr>
              <w:spacing w:after="40"/>
            </w:pPr>
            <w:r>
              <w:rPr>
                <w:sz w:val="19"/>
              </w:rPr>
              <w:t xml:space="preserve">{{ACTIONS}}</w:t>
            </w:r>
          </w:p>
        </w:tc>
        <w:tc>
          <w:tcPr>
            <w:tcW w:w="1126" w:type="dxa"/>
          </w:tcPr>
          <w:p>
            <w:pPr>
              <w:spacing w:after="40"/>
            </w:pPr>
            <w:r>
              <w:rPr>
                <w:sz w:val="19"/>
              </w:rPr>
              <w:t xml:space="preserve">{{PART}}{{/AIR_LIGNES}}</w:t>
            </w:r>
          </w:p>
        </w:tc>
      </w:tr>
    </w:tbl>
    <w:p>
      <w:pPr>
        <w:spacing w:before="120" w:after="0"/>
      </w:pPr>
      <w:r>
        <w:t xml:space="preserve">Le capital social est porté de {{AIR_CAPITAL_AVANT}} euros à {{AIR_CAPITAL_APRES}} euros, divisé en {{AIR_ACTIONS_APRES}} actions de {{AIR_NOMINALE}} euro de valeur nominale chacune.</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Cambria" w:hAnsi="Cambria" w:eastAsia="Cambria" w:cs="Cambria"/>
        <w:sz w:val="22"/>
        <w:szCs w:val="22"/>
        <w:lang w:val="fr-FR"/>
      </w:rPr>
    </w:rPrDefault>
    <w:pPrDefault>
      <w:pPr>
        <w:widowControl/>
        <w:spacing w:after="160" w:line="276" w:lineRule="auto"/>
        <w:jc w:val="both"/>
      </w:pPr>
    </w:pPrDefault>
  </w:docDefaults>
  <w:style w:type="paragraph" w:default="1" w:styleId="Normal">
    <w:name w:val="Normal"/>
    <w:qFormat/>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