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L’ASSOCIÉ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{{PRENOM}} {{NOM}}, né le {{DATE_NAISSANCE}} à {{LIEU_NAISSANCE}} ({{CODE_POSTAL_NAISSANCE}}) ({{PAYS_NAISSANCE}}), de nationalité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pPr>
        <w:spacing w:before="0" w:after="120" w:line="276" w:lineRule="auto"/>
        <w:jc w:val="both"/>
      </w:pPr>
      <w:r>
        <w:rPr>
          <w:rFonts w:ascii="Cambria" w:cs="Cambria" w:eastAsia="Cambria" w:hAnsi="Cambria"/>
          <w:rtl w:val="0"/>
        </w:rPr>
        <w:t xml:space="preserve">Ces actions, numérotées de 1 à {{NOMBRE_ACTIONS}}, sont intégralement souscrites et détenues par l’associé unique.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d’associé du cédant au compte d’associé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