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6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全流程内测记录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用于验证端到端业务场景、角色权限、数据流与外围系统协同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场景测试完成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优先覆盖高频、关键和异常场景；测试数据应脱敏，失败用例需关联问题编号并完成复测。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一、场景测试总览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核心流程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端到端业务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角色权限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岗位与数据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外围协同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接口与设备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异常恢复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失败与补偿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用例优先级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先验证高频、关键、跨系统与高风险场景</w:t>
            </w:r>
          </w:p>
        </w:tc>
      </w:tr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数据安全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使用脱敏数据，截图和日志不得含真实身份信息</w:t>
            </w:r>
          </w:p>
        </w:tc>
      </w:tr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退出标准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阻断和严重问题关闭，其余问题有可接受计划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二、端到端测试用例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713"/>
        <w:gridCol w:w="1902"/>
        <w:gridCol w:w="2140"/>
        <w:gridCol w:w="2695"/>
        <w:gridCol w:w="1981"/>
        <w:gridCol w:w="1902"/>
        <w:gridCol w:w="1110"/>
        <w:gridCol w:w="1268"/>
        <w:gridCol w:w="1189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90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业务场景</w:t>
            </w:r>
          </w:p>
        </w:tc>
        <w:tc>
          <w:tcPr>
            <w:tcW w:type="dxa" w:w="214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前置条件/数据</w:t>
            </w:r>
          </w:p>
        </w:tc>
        <w:tc>
          <w:tcPr>
            <w:tcW w:type="dxa" w:w="2695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测试步骤</w:t>
            </w:r>
          </w:p>
        </w:tc>
        <w:tc>
          <w:tcPr>
            <w:tcW w:type="dxa" w:w="1981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预期结果</w:t>
            </w:r>
          </w:p>
        </w:tc>
        <w:tc>
          <w:tcPr>
            <w:tcW w:type="dxa" w:w="190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实际结果</w:t>
            </w:r>
          </w:p>
        </w:tc>
        <w:tc>
          <w:tcPr>
            <w:tcW w:type="dxa" w:w="11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  <w:tc>
          <w:tcPr>
            <w:tcW w:type="dxa" w:w="1268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问题编号</w:t>
            </w:r>
          </w:p>
        </w:tc>
        <w:tc>
          <w:tcPr>
            <w:tcW w:type="dxa" w:w="1189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测试人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三、缺陷与测试退出判定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问题/缺陷</w:t>
            </w:r>
          </w:p>
        </w:tc>
        <w:tc>
          <w:tcPr>
            <w:tcW w:type="dxa" w:w="4917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等级与影响</w:t>
            </w:r>
          </w:p>
        </w:tc>
        <w:tc>
          <w:tcPr>
            <w:tcW w:type="dxa" w:w="2235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修复/复测</w:t>
            </w:r>
          </w:p>
        </w:tc>
        <w:tc>
          <w:tcPr>
            <w:tcW w:type="dxa" w:w="506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退出结论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业务覆盖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核心、异常、权限和跨系统场景覆盖充分</w:t>
              <w:br/>
              <w:t>☐ 通过  ☐ 待整改  ☐ 不适用</w:t>
            </w:r>
          </w:p>
        </w:tc>
        <w:tc>
          <w:tcPr>
            <w:tcW w:type="dxa" w:w="4967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数据安全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测试数据已脱敏，截图和日志不含敏感信息</w:t>
              <w:br/>
              <w:t>☐ 通过  ☐ 待整改  ☐ 不适用</w:t>
            </w:r>
          </w:p>
        </w:tc>
        <w:tc>
          <w:tcPr>
            <w:tcW w:type="dxa" w:w="4966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缺陷闭环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阻断和严重问题已关闭，其余问题已有处置计划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测试负责人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业务代表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项目经理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场景测试差异化改版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D4AA2"/>
              <w:sz w:val="17"/>
            </w:rPr>
            <w:t>实施项目管理平台 · 场景测试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全流程内测记录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全流程内测记录</dc:title>
  <dc:subject>项目实施 SOP 交付物模板</dc:subject>
  <dc:creator>实施项目管理平台</dc:creator>
  <cp:keywords/>
  <dc:description>V2.1 场景测试差异化模板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