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0"/>
        <w:jc w:val="left"/>
      </w:pPr>
      <w:r>
        <w:rPr>
          <w:rFonts w:ascii="Microsoft YaHei" w:hAnsi="Microsoft YaHei" w:eastAsia="Microsoft YaHei"/>
          <w:b/>
          <w:i w:val="0"/>
          <w:color w:val="0F766E"/>
          <w:sz w:val="19"/>
        </w:rPr>
        <w:t>联调执行 · 接口对接</w:t>
      </w:r>
    </w:p>
    <w:p>
      <w:pPr>
        <w:keepNext/>
        <w:spacing w:before="0" w:after="60"/>
        <w:jc w:val="left"/>
      </w:pPr>
      <w:r>
        <w:rPr>
          <w:rFonts w:ascii="Microsoft YaHei" w:hAnsi="Microsoft YaHei" w:eastAsia="Microsoft YaHei"/>
          <w:b/>
          <w:i w:val="0"/>
          <w:color w:val="17365D"/>
          <w:sz w:val="46"/>
        </w:rPr>
        <w:t>接口联调记录</w:t>
      </w:r>
    </w:p>
    <w:p>
      <w:pPr>
        <w:keepNext/>
        <w:spacing w:before="0" w:after="180"/>
        <w:jc w:val="left"/>
      </w:pPr>
      <w:r>
        <w:rPr>
          <w:rFonts w:ascii="Microsoft YaHei" w:hAnsi="Microsoft YaHei" w:eastAsia="Microsoft YaHei"/>
          <w:b w:val="0"/>
          <w:i w:val="0"/>
          <w:color w:val="667A90"/>
          <w:sz w:val="21"/>
        </w:rPr>
        <w:t>用于记录接口联调批次、测试数据、问题整改与最终确认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192"/>
        <w:gridCol w:w="2566"/>
        <w:gridCol w:w="1192"/>
        <w:gridCol w:w="2566"/>
        <w:gridCol w:w="1192"/>
        <w:gridCol w:w="2235"/>
        <w:gridCol w:w="1192"/>
        <w:gridCol w:w="2765"/>
      </w:tblGrid>
      <w:tr>
        <w:trPr>
          <w:cantSplit/>
        </w:trPr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项目名称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客户单位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项目经理</w:t>
            </w:r>
          </w:p>
        </w:tc>
        <w:tc>
          <w:tcPr>
            <w:tcW w:type="dxa" w:w="223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文档编号</w:t>
            </w:r>
          </w:p>
        </w:tc>
        <w:tc>
          <w:tcPr>
            <w:tcW w:type="dxa" w:w="276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</w:tr>
      <w:tr>
        <w:trPr>
          <w:cantSplit/>
        </w:trPr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实施负责人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编制日期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模板版本</w:t>
            </w:r>
          </w:p>
        </w:tc>
        <w:tc>
          <w:tcPr>
            <w:tcW w:type="dxa" w:w="22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V2.1</w:t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文档状态</w:t>
            </w:r>
          </w:p>
        </w:tc>
        <w:tc>
          <w:tcPr>
            <w:tcW w:type="dxa" w:w="276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☐ 草稿  ☐ 联调执行完成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0F766E"/>
          <w:left w:val="single" w:sz="5" w:color="0F766E"/>
          <w:bottom w:val="single" w:sz="5" w:color="0F766E"/>
          <w:right w:val="single" w:sz="5" w:color="0F766E"/>
          <w:insideH w:val="single" w:sz="5" w:color="0F766E"/>
          <w:insideV w:val="single" w:sz="5" w:color="0F766E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 w:val="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填写提示  |  每条记录应能关联接口版本、测试数据和问题编号；敏感测试数据需脱敏，不在附件中保留真实身份信息。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0F766E"/>
          <w:sz w:val="26"/>
        </w:rPr>
        <w:t>一、联调执行总览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725"/>
        <w:gridCol w:w="3725"/>
        <w:gridCol w:w="3725"/>
        <w:gridCol w:w="3725"/>
      </w:tblGrid>
      <w:tr>
        <w:trPr>
          <w:cantSplit/>
        </w:trPr>
        <w:tc>
          <w:tcPr>
            <w:tcW w:type="dxa" w:w="3725"/>
            <w:shd w:fill="EAF6F4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24"/>
              </w:rPr>
              <w:t>请求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报文与标识</w:t>
            </w:r>
          </w:p>
        </w:tc>
        <w:tc>
          <w:tcPr>
            <w:tcW w:type="dxa" w:w="3725"/>
            <w:shd w:fill="EAF6F4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24"/>
              </w:rPr>
              <w:t>响应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状态与耗时</w:t>
            </w:r>
          </w:p>
        </w:tc>
        <w:tc>
          <w:tcPr>
            <w:tcW w:type="dxa" w:w="3725"/>
            <w:shd w:fill="EAF6F4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24"/>
              </w:rPr>
              <w:t>日志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时间与链路</w:t>
            </w:r>
          </w:p>
        </w:tc>
        <w:tc>
          <w:tcPr>
            <w:tcW w:type="dxa" w:w="3725"/>
            <w:shd w:fill="EAF6F4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24"/>
              </w:rPr>
              <w:t>缺陷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修复与复测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215"/>
        <w:gridCol w:w="2510"/>
        <w:gridCol w:w="1215"/>
        <w:gridCol w:w="2510"/>
        <w:gridCol w:w="1215"/>
        <w:gridCol w:w="2510"/>
        <w:gridCol w:w="1215"/>
        <w:gridCol w:w="2510"/>
      </w:tblGrid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联调环境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联调批次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双方负责人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执行日期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归档位置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附件数量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0F766E"/>
          <w:left w:val="single" w:sz="5" w:color="0F766E"/>
          <w:bottom w:val="single" w:sz="5" w:color="0F766E"/>
          <w:right w:val="single" w:sz="5" w:color="0F766E"/>
          <w:insideH w:val="single" w:sz="5" w:color="0F766E"/>
          <w:insideV w:val="single" w:sz="5" w:color="0F766E"/>
        </w:tblBorders>
      </w:tblPr>
      <w:tblGrid>
        <w:gridCol w:w="2310"/>
        <w:gridCol w:w="12590"/>
      </w:tblGrid>
      <w:tr>
        <w:trPr>
          <w:cantSplit/>
        </w:trPr>
        <w:tc>
          <w:tcPr>
            <w:tcW w:type="dxa" w:w="231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执行原则</w:t>
            </w:r>
          </w:p>
        </w:tc>
        <w:tc>
          <w:tcPr>
            <w:tcW w:type="dxa" w:w="125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每次联调有批次、有数据引用、有链路标识</w:t>
            </w:r>
          </w:p>
        </w:tc>
      </w:tr>
      <w:tr>
        <w:trPr>
          <w:cantSplit/>
        </w:trPr>
        <w:tc>
          <w:tcPr>
            <w:tcW w:type="dxa" w:w="231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缺陷闭环</w:t>
            </w:r>
          </w:p>
        </w:tc>
        <w:tc>
          <w:tcPr>
            <w:tcW w:type="dxa" w:w="125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失败场景关联问题编号、修复版本和复测结论</w:t>
            </w:r>
          </w:p>
        </w:tc>
      </w:tr>
      <w:tr>
        <w:trPr>
          <w:cantSplit/>
        </w:trPr>
        <w:tc>
          <w:tcPr>
            <w:tcW w:type="dxa" w:w="231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完成标准</w:t>
            </w:r>
          </w:p>
        </w:tc>
        <w:tc>
          <w:tcPr>
            <w:tcW w:type="dxa" w:w="125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正常、异常和边界场景均由双方确认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0F766E"/>
          <w:sz w:val="26"/>
        </w:rPr>
        <w:t>二、联调执行记录</w:t>
      </w:r>
    </w:p>
    <w:tbl>
      <w:tblPr>
        <w:tblStyle w:val="TableGrid"/>
        <w:tblW w:type="dxa" w:w="149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828"/>
        <w:gridCol w:w="1904"/>
        <w:gridCol w:w="2401"/>
        <w:gridCol w:w="2069"/>
        <w:gridCol w:w="1490"/>
        <w:gridCol w:w="1490"/>
        <w:gridCol w:w="1987"/>
        <w:gridCol w:w="1324"/>
        <w:gridCol w:w="1407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28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1904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接口名称</w:t>
            </w:r>
          </w:p>
        </w:tc>
        <w:tc>
          <w:tcPr>
            <w:tcW w:type="dxa" w:w="2401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用例/场景</w:t>
            </w:r>
          </w:p>
        </w:tc>
        <w:tc>
          <w:tcPr>
            <w:tcW w:type="dxa" w:w="2069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测试数据引用</w:t>
            </w:r>
          </w:p>
        </w:tc>
        <w:tc>
          <w:tcPr>
            <w:tcW w:type="dxa" w:w="149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测试结果</w:t>
            </w:r>
          </w:p>
        </w:tc>
        <w:tc>
          <w:tcPr>
            <w:tcW w:type="dxa" w:w="149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问题编号</w:t>
            </w:r>
          </w:p>
        </w:tc>
        <w:tc>
          <w:tcPr>
            <w:tcW w:type="dxa" w:w="1987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整改结果</w:t>
            </w:r>
          </w:p>
        </w:tc>
        <w:tc>
          <w:tcPr>
            <w:tcW w:type="dxa" w:w="1324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确认人</w:t>
            </w:r>
          </w:p>
        </w:tc>
        <w:tc>
          <w:tcPr>
            <w:tcW w:type="dxa" w:w="1407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2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1</w:t>
            </w:r>
          </w:p>
        </w:tc>
        <w:tc>
          <w:tcPr>
            <w:tcW w:type="dxa" w:w="190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9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2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2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2</w:t>
            </w:r>
          </w:p>
        </w:tc>
        <w:tc>
          <w:tcPr>
            <w:tcW w:type="dxa" w:w="190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9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2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2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3</w:t>
            </w:r>
          </w:p>
        </w:tc>
        <w:tc>
          <w:tcPr>
            <w:tcW w:type="dxa" w:w="190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9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2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82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4</w:t>
            </w:r>
          </w:p>
        </w:tc>
        <w:tc>
          <w:tcPr>
            <w:tcW w:type="dxa" w:w="190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9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2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82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5</w:t>
            </w:r>
          </w:p>
        </w:tc>
        <w:tc>
          <w:tcPr>
            <w:tcW w:type="dxa" w:w="190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9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2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82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6</w:t>
            </w:r>
          </w:p>
        </w:tc>
        <w:tc>
          <w:tcPr>
            <w:tcW w:type="dxa" w:w="190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9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2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82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7</w:t>
            </w:r>
          </w:p>
        </w:tc>
        <w:tc>
          <w:tcPr>
            <w:tcW w:type="dxa" w:w="190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9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2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82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8</w:t>
            </w:r>
          </w:p>
        </w:tc>
        <w:tc>
          <w:tcPr>
            <w:tcW w:type="dxa" w:w="190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9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2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82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9</w:t>
            </w:r>
          </w:p>
        </w:tc>
        <w:tc>
          <w:tcPr>
            <w:tcW w:type="dxa" w:w="190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9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24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0F766E"/>
          <w:sz w:val="26"/>
        </w:rPr>
        <w:t>三、缺陷闭环与联调移交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0F766E"/>
          <w:left w:val="single" w:sz="5" w:color="0F766E"/>
          <w:bottom w:val="single" w:sz="5" w:color="0F766E"/>
          <w:right w:val="single" w:sz="5" w:color="0F766E"/>
          <w:insideH w:val="single" w:sz="5" w:color="0F766E"/>
          <w:insideV w:val="single" w:sz="5" w:color="0F766E"/>
        </w:tblBorders>
      </w:tblPr>
      <w:tblGrid>
        <w:gridCol w:w="2682"/>
        <w:gridCol w:w="4917"/>
        <w:gridCol w:w="2235"/>
        <w:gridCol w:w="5066"/>
      </w:tblGrid>
      <w:tr>
        <w:trPr>
          <w:cantSplit/>
        </w:trPr>
        <w:tc>
          <w:tcPr>
            <w:tcW w:type="dxa" w:w="2682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问题编号</w:t>
            </w:r>
          </w:p>
        </w:tc>
        <w:tc>
          <w:tcPr>
            <w:tcW w:type="dxa" w:w="4917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根因/修复版本</w:t>
            </w:r>
          </w:p>
        </w:tc>
        <w:tc>
          <w:tcPr>
            <w:tcW w:type="dxa" w:w="2235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复测结论</w:t>
            </w:r>
          </w:p>
        </w:tc>
        <w:tc>
          <w:tcPr>
            <w:tcW w:type="dxa" w:w="5066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双方确认</w:t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0F766E"/>
          <w:sz w:val="26"/>
        </w:rPr>
        <w:t>四、交付门禁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0F766E"/>
          <w:left w:val="single" w:sz="5" w:color="0F766E"/>
          <w:bottom w:val="single" w:sz="5" w:color="0F766E"/>
          <w:right w:val="single" w:sz="5" w:color="0F766E"/>
          <w:insideH w:val="single" w:sz="5" w:color="0F766E"/>
          <w:insideV w:val="single" w:sz="5" w:color="0F766E"/>
        </w:tblBorders>
      </w:tblPr>
      <w:tblGrid>
        <w:gridCol w:w="4967"/>
        <w:gridCol w:w="4967"/>
        <w:gridCol w:w="4966"/>
      </w:tblGrid>
      <w:tr>
        <w:trPr>
          <w:cantSplit/>
        </w:trPr>
        <w:tc>
          <w:tcPr>
            <w:tcW w:type="dxa" w:w="4967"/>
            <w:shd w:fill="EAF6F4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18"/>
              </w:rPr>
              <w:t>可追溯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接口版本、请求标识、日志时间和问题编号可关联</w:t>
              <w:br/>
              <w:t>☐ 通过  ☐ 待整改  ☐ 不适用</w:t>
            </w:r>
          </w:p>
        </w:tc>
        <w:tc>
          <w:tcPr>
            <w:tcW w:type="dxa" w:w="4967"/>
            <w:shd w:fill="EAF6F4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18"/>
              </w:rPr>
              <w:t>问题闭环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失败场景已有根因、责任人、修复版本和复测结论</w:t>
              <w:br/>
              <w:t>☐ 通过  ☐ 待整改  ☐ 不适用</w:t>
            </w:r>
          </w:p>
        </w:tc>
        <w:tc>
          <w:tcPr>
            <w:tcW w:type="dxa" w:w="4966"/>
            <w:shd w:fill="EAF6F4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18"/>
              </w:rPr>
              <w:t>联调完成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双方已确认正常、异常及边界场景的联调范围</w:t>
              <w:br/>
              <w:t>☐ 通过  ☐ 待整改  ☐ 不适用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0F766E"/>
          <w:sz w:val="26"/>
        </w:rPr>
        <w:t>五、责任确认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862"/>
        <w:gridCol w:w="2682"/>
        <w:gridCol w:w="8120"/>
        <w:gridCol w:w="2236"/>
      </w:tblGrid>
      <w:tr>
        <w:trPr>
          <w:cantSplit/>
        </w:trPr>
        <w:tc>
          <w:tcPr>
            <w:tcW w:type="dxa" w:w="1862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确认角色</w:t>
            </w:r>
          </w:p>
        </w:tc>
        <w:tc>
          <w:tcPr>
            <w:tcW w:type="dxa" w:w="2682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姓名/签字</w:t>
            </w:r>
          </w:p>
        </w:tc>
        <w:tc>
          <w:tcPr>
            <w:tcW w:type="dxa" w:w="812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确认意见</w:t>
            </w:r>
          </w:p>
        </w:tc>
        <w:tc>
          <w:tcPr>
            <w:tcW w:type="dxa" w:w="2236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实施方联调人</w:t>
            </w:r>
          </w:p>
        </w:tc>
        <w:tc>
          <w:tcPr>
            <w:tcW w:type="dxa" w:w="268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对方联调人</w:t>
            </w:r>
          </w:p>
        </w:tc>
        <w:tc>
          <w:tcPr>
            <w:tcW w:type="dxa" w:w="268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双方负责人</w:t>
            </w:r>
          </w:p>
        </w:tc>
        <w:tc>
          <w:tcPr>
            <w:tcW w:type="dxa" w:w="268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spacing w:before="120" w:after="0"/>
        <w:jc w:val="right"/>
      </w:pPr>
      <w:r>
        <w:rPr>
          <w:rFonts w:ascii="Microsoft YaHei" w:hAnsi="Microsoft YaHei" w:eastAsia="Microsoft YaHei"/>
          <w:b w:val="0"/>
          <w:i w:val="0"/>
          <w:color w:val="667A90"/>
          <w:sz w:val="16"/>
        </w:rPr>
        <w:t>版本记录：V2.1 · 联调执行差异化改版 · 2026-07-28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490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50"/>
      <w:gridCol w:w="7450"/>
    </w:tblGrid>
    <w:tr>
      <w:trPr>
        <w:cantSplit/>
      </w:trPr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left"/>
          </w:pPr>
          <w:r/>
          <w:r>
            <w:rPr>
              <w:rFonts w:ascii="Microsoft YaHei" w:hAnsi="Microsoft YaHei" w:eastAsia="Microsoft YaHei"/>
              <w:b/>
              <w:i w:val="0"/>
              <w:color w:val="0F766E"/>
              <w:sz w:val="17"/>
            </w:rPr>
            <w:t>实施项目管理平台 · 联调执行</w:t>
          </w:r>
        </w:p>
      </w:tc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right"/>
          </w:pPr>
          <w:r/>
          <w:r>
            <w:rPr>
              <w:rFonts w:ascii="Microsoft YaHei" w:hAnsi="Microsoft YaHei" w:eastAsia="Microsoft YaHei"/>
              <w:b w:val="0"/>
              <w:i w:val="0"/>
              <w:color w:val="667A90"/>
              <w:sz w:val="17"/>
            </w:rPr>
            <w:t>接口联调记录  |  V2.1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接口联调记录</dc:title>
  <dc:subject>项目实施 SOP 交付物模板</dc:subject>
  <dc:creator>实施项目管理平台</dc:creator>
  <cp:keywords/>
  <dc:description>V2.1 联调执行差异化模板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