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414" w:lineRule="atLeast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某行知识库项目方案总结</w:t>
      </w:r>
    </w:p>
    <w:p>
      <w:pPr>
        <w:spacing w:after="6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依据材料：《某行知识库项目内部会议结论》（2026-10-15）、梁业飞（iverson）与束振鹤技术讨论记录</w:t>
      </w:r>
    </w:p>
    <w:p>
      <w:pPr>
        <w:pBdr>
          <w:bottom w:val="single" w:color="5B7A99" w:sz="6" w:space="8"/>
        </w:pBdr>
        <w:spacing w:after="12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编制：法本知识库项目组　　日期：2026年10月15日　　密级：内部</w:t>
      </w:r>
    </w:p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一、材料来源与定位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合并两份内部材料形成项目方案总结：其一为2026年10月15日内部会议形成的《某行知识库项目内部会议结论》，属决议层文件，确定技术方向、项目边界与分工节奏；其二为梁业飞与束振鹤的技术讨论记录，属技术细节层，给出各决议点的具体实现方式。两者关系可概括为：会议结论定方向与边界，技术讨论定实现路径，内容高度一致、互为补充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本文供项目组内部对齐使用，并作为对外方案文档的编写基础。</w:t>
      </w:r>
    </w:p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二、总体技术路线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项目采用“离线构建＋在线问答”的知识库问答架构，核心问题是如何从存量代码中挖掘业务逻辑。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离线阶段：</w:t>
      </w:r>
      <w:r>
        <w:rPr>
          <w:rFonts w:ascii="Times New Roman" w:eastAsia="SimSun"/>
          <w:color w:val="000000"/>
          <w:sz w:val="24"/>
          <w:szCs w:val="24"/>
        </w:rPr>
        <w:t xml:space="preserve">将现有代码拉取后，先梳理业务功能点，再借助AI对照源代码与文档打标签、生成MD文档与知识图谱，连同映射关系一并存入向量库与图谱库。束振鹤特别强调，标签与映射关系入知识图谱优于传统ES索引——查询业务时可从数据层到业务层到执行层一次查全，且标注环节必须人工校对兜底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在线阶段：</w:t>
      </w:r>
      <w:r>
        <w:rPr>
          <w:rFonts w:ascii="Times New Roman" w:eastAsia="SimSun"/>
          <w:color w:val="000000"/>
          <w:sz w:val="24"/>
          <w:szCs w:val="24"/>
        </w:rPr>
        <w:t xml:space="preserve">查询优先从知识库获取，未命中则由Agent实时生成。Demo阶段以单一Flow串联完整推理链（问题分析→多路检索→大模型结合上下文整体分析→输出“是什么→为什么→怎么处理”及依据），不引入复杂Multi-Agent；演进方向为agent动态编排工具的工作流，即设计时将文档、源代码、知识图谱、缓存库封装为规范化工具接口，为后续agent化留出空间，避免链路验证后推倒重来。</w:t>
      </w:r>
    </w:p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三、四大核心问题方案合并对照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客户以ATM业务场景为例提出的四个核心能力问题，两份材料分别给出决议与实现细节，合并结论如下表所示。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表【1】四大核心问题：会议决议与技术细节合并对照</w:t>
      </w:r>
    </w:p>
    <w:tbl>
      <w:tblPr>
        <w:tblW w:type="pct" w:w="5000"/>
        <w:tblBorders>
          <w:top w:val="single" w:color="5B7A99" w:sz="4"/>
          <w:left w:val="none"/>
          <w:bottom w:val="single" w:color="5B7A99" w:sz="4"/>
          <w:right w:val="none"/>
          <w:insideH w:val="single" w:color="C9D3DC" w:sz="1"/>
          <w:insideV w:val="none"/>
        </w:tblBorders>
      </w:tblPr>
      <w:tblGrid>
        <w:gridCol w:w="1406"/>
        <w:gridCol w:w="3515"/>
        <w:gridCol w:w="3867"/>
      </w:tblGrid>
      <w:tr>
        <w:trPr>
          <w:cantSplit/>
          <w:tblHeader/>
        </w:trPr>
        <w:tc>
          <w:tcPr>
            <w:tcW w:type="pct" w:w="8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核心问题</w:t>
            </w:r>
          </w:p>
        </w:tc>
        <w:tc>
          <w:tcPr>
            <w:tcW w:type="pct" w:w="20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会议决议</w:t>
            </w:r>
          </w:p>
        </w:tc>
        <w:tc>
          <w:tcPr>
            <w:tcW w:type="pct" w:w="22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技术讨论补充细节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一、答案必须带推理过程，经得起追问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知识库问答＋Agent架构；单一Flow串联“问题分析→多路检索→整体分析→带依据作答”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工作流不写死：agent按轮动态决定调用工具与停止时机（skills与提示词定终止条件），支持用户追问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二、答案必须可溯源（流程、数据表、代码）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离线索引三类素材：业务流程文档、数据表映射关系、代码片段；回答附引用来源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前置治理三步：梳理功能点→AI打标签＋人工校对→映射关系入知识图谱，实现数据层、业务层、执行层一次查全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三、推理方法必须可迁移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框架与场景知识解耦，场景知识仅作数据层；未命中由Agent实时生成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agent＋工具＋skills骨架场景无关；换场景只补数据与skills；卡种多口径映射正是知识图谱所长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四、已验证答案须沉淀复用（长时记忆）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数据指纹＋已验证答案库：精确命中直接返回，相似命中给参考，未命中推理后人工复核入库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缓存库作为agent工具之一，按相似度阈值分流；skills框定回答结构；近似问题将旧答案压缩后作参考上下文</w:t>
            </w:r>
          </w:p>
        </w:tc>
      </w:tr>
    </w:tbl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四、设计张力的处理原则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两份材料存在一处需要拿捏的差异：会议结论确定Demo阶段采用单一Flow简化实现，而技术讨论指出写死的固定流程不够灵活，客户亦反馈其不够智能，动态agent编排才是业界成熟形态。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合并后的处理原则是：Demo以单一Flow快速证明端到端链路可行，满足两周交付要求；但架构设计坚持工具接口化与数据治理先行，使单一Flow向agent动态编排的演进不需要重构。该原则已体现在总体路线中，提请项目组在方案评审时确认。</w:t>
      </w:r>
    </w:p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五、边界与责任约束（会议决议）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以下两条边界为会议明确决议，须写入对外方案文档并使用防御性措辞，避免责任范围模糊：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业务校验责任：</w:t>
      </w:r>
      <w:r>
        <w:rPr>
          <w:rFonts w:ascii="Times New Roman" w:eastAsia="SimSun"/>
          <w:color w:val="000000"/>
          <w:sz w:val="24"/>
          <w:szCs w:val="24"/>
        </w:rPr>
        <w:t xml:space="preserve">Agent解析出的业务逻辑准确性不由系统保证，最终以人工复核为准；系统定位为辅助工具，不承担业务正确性责任。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项目范围界定：</w:t>
      </w:r>
      <w:r>
        <w:rPr>
          <w:rFonts w:ascii="Times New Roman" w:eastAsia="SimSun"/>
          <w:color w:val="000000"/>
          <w:sz w:val="24"/>
          <w:szCs w:val="24"/>
        </w:rPr>
        <w:t xml:space="preserve">本次项目不涉及将生成的代码直接在大机上运行测试，仅提供工具层面的支持。</w:t>
      </w:r>
    </w:p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六、落地节奏与分工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总体节奏为两周内完成Demo演示：初期以单一Flow简化实现、MVP（最小可行产品）小步验证；次日与客户确认场景符合预期后，基于客户提供的真实数据跑通端到端链路；Demo不追求复杂界面，以证明链路可行性为核心。会议形成的待办事项及分工如下表所示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表【2】待办事项与分工</w:t>
      </w:r>
    </w:p>
    <w:tbl>
      <w:tblPr>
        <w:tblW w:type="pct" w:w="5000"/>
        <w:tblBorders>
          <w:top w:val="single" w:color="5B7A99" w:sz="4"/>
          <w:left w:val="none"/>
          <w:bottom w:val="single" w:color="5B7A99" w:sz="4"/>
          <w:right w:val="none"/>
          <w:insideH w:val="single" w:color="C9D3DC" w:sz="1"/>
          <w:insideV w:val="none"/>
        </w:tblBorders>
      </w:tblPr>
      <w:tblGrid>
        <w:gridCol w:w="703"/>
        <w:gridCol w:w="4570"/>
        <w:gridCol w:w="1933"/>
        <w:gridCol w:w="1582"/>
      </w:tblGrid>
      <w:tr>
        <w:trPr>
          <w:cantSplit/>
          <w:tblHeader/>
        </w:trPr>
        <w:tc>
          <w:tcPr>
            <w:tcW w:type="pct" w:w="4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26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待办事项</w:t>
            </w:r>
          </w:p>
        </w:tc>
        <w:tc>
          <w:tcPr>
            <w:tcW w:type="pct" w:w="11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负责人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时限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整理客户方（汉克）所需文档清单，明确可提供的文档类型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刘晓泉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尽快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与客户方（海哥）沟通，确认本次讨论场景是否符合预期，明确具体需求和边界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iverson（梁业飞）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次日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整理初步解决方案文档（能力范围、技术路线及边界说明），交Bruce审阅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iverson（梁业飞）、Bruce（贾国强）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今日下班前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针对长时记忆、Multi-Agent等技术细节在群内分享看法，最后汇总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Karl（周旭）、iverson（梁业飞）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待定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向客户索要错误码表、返回报文等真实数据，以基于真实场景跑通Demo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iverson（梁业飞）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尽快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尽量多梳理不同用户角色（普通用户、业务人员、研发人员）的使用场景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项目组全体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持续进行</w:t>
            </w:r>
          </w:p>
        </w:tc>
      </w:tr>
    </w:tbl>
    <w:p>
      <w:pPr>
        <w:pStyle w:val="Heading1"/>
        <w:keepNext/>
        <w:spacing w:after="160" w:before="36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七、遗留问题与待确认清单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合并两份材料，遗留问题与待确认事项汇总如下：</w:t>
      </w: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长时记忆实现细节：相似判定阈值、资料更新后已验证答案的失效机制，需在后续技术细节讨论中明确。</w:t>
      </w: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答案复用验收口径（技术讨论新增）：哪些问题要求答案百分之百复现（指纹直出）、哪些允许参考生成，需作为Demo验收标准与客户对齐。</w:t>
      </w: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客户数据依赖：错误码表、返回报文示例与mapping真实结构为Demo关键素材，属关键路径，需尽快索取。</w:t>
      </w: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卡种口径：实际卡种存在三种、六种等不同说法，具体构成（如Smart卡、HBC卡）待与客户确认。</w:t>
      </w: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Multi-Agent演进时机：Demo阶段以单一Flow实现，链路验证通过后再评估引入。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本文结论基于2026年10月15日内部会议结论与技术讨论记录整理，供项目组内部对齐及编写对外方案时参考。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SimSun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center"/>
    </w:pPr>
    <w:r>
      <w:rPr>
        <w:rFonts w:ascii="Times New Roman" w:eastAsia="SimSun"/>
        <w:color w:val="8C8C8C"/>
        <w:sz w:val="18"/>
        <w:szCs w:val="18"/>
      </w:rPr>
      <w:t xml:space="preserve">某行知识库项目 · 内部方案总结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2026-10-15T14:05:09.836Z</dcterms:created>
  <dcterms:modified xsi:type="dcterms:W3CDTF">2026-10-15T14:05:09.840Z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