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top"/>
          </w:tcPr>
          <w:tbl>
            <w:tblPr>
              <w:tblW w:type="pct" w:w="5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1906"/>
            </w:tblGrid>
            <w:tr>
              <w:trPr>
                <w:trHeight w:val="750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2330" w:val="clear"/>
                  <w:tcMar>
                    <w:left w:type="dxa" w:w="1200"/>
                    <w:right w:type="dxa" w:w="800"/>
                  </w:tcMar>
                  <w:vAlign w:val="top"/>
                </w:tcPr>
                <w:p>
                  <w:pPr>
                    <w:spacing w:before="4301"/>
                  </w:pPr>
                </w:p>
                <w:p>
                  <w:pPr>
                    <w:spacing w:after="500"/>
                  </w:pPr>
                  <w:r>
                    <w:rPr>
                      <w:rFonts w:ascii="Calibri"/>
                      <w:color w:val="D4875A"/>
                      <w:spacing w:val="60"/>
                      <w:sz w:val="18"/>
                      <w:szCs w:val="18"/>
                    </w:rPr>
                    <w:t xml:space="preserve">D A T A   C L E A N S I N G   D E S I G N</w:t>
                  </w:r>
                </w:p>
                <w:p>
                  <w:pPr>
                    <w:spacing w:after="200" w:line="736" w:lineRule="atLeast"/>
                  </w:pPr>
                  <w:r>
                    <w:rPr>
                      <w:rFonts w:ascii="Arial" w:eastAsia="SimHei"/>
                      <w:b/>
                      <w:bCs/>
                      <w:color w:val="FFFFFF"/>
                      <w:sz w:val="64"/>
                      <w:szCs w:val="64"/>
                    </w:rPr>
                    <w:t xml:space="preserve">HFCPS数据集数据清洗设计文档</w:t>
                  </w:r>
                </w:p>
                <w:p>
                  <w:pPr>
                    <w:spacing w:after="100"/>
                  </w:pPr>
                  <w:r>
                    <w:rPr>
                      <w:rFonts w:ascii="Arial" w:eastAsia="Microsoft YaHei"/>
                      <w:color w:val="B0B8C0"/>
                      <w:sz w:val="24"/>
                      <w:szCs w:val="24"/>
                    </w:rPr>
                    <w:t xml:space="preserve">面向核心系统迁移知识库离线构建的数据治理设计</w:t>
                  </w:r>
                </w:p>
              </w:tc>
            </w:tr>
          </w:tbl>
          <w:tbl>
            <w:tblPr>
              <w:tblW w:type="pct" w:w="5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1906"/>
            </w:tblGrid>
            <w:tr>
              <w:trPr>
                <w:trHeight w:val="6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4875A" w:val="clear"/>
                </w:tcPr>
                <w:p/>
              </w:tc>
            </w:tr>
          </w:tbl>
          <w:p>
            <w:pPr>
              <w:spacing w:before="800"/>
            </w:pP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文档版本：V1.0</w:t>
            </w: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数据基线：hsbc_data（81 文件 / 15 雷区 / V1.0 产物实测）</w:t>
            </w: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编制单位：法本知识库项目组</w:t>
            </w: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编制日期：2026 年 10 月 17 日</w:t>
            </w: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密　　级：内部资料</w:t>
            </w:r>
          </w:p>
          <w:p>
            <w:pPr>
              <w:spacing w:before="2000"/>
            </w:pPr>
          </w:p>
          <w:p>
            <w:pPr>
              <w:ind w:left="1200"/>
            </w:pPr>
            <w:r>
              <w:rPr>
                <w:color w:val="909090"/>
                <w:sz w:val="22"/>
                <w:szCs w:val="22"/>
              </w:rPr>
              <w:t xml:space="preserve">法本知识库项目组</w:t>
            </w:r>
            <w:r>
              <w:t xml:space="preserve">          </w:t>
            </w:r>
            <w:r>
              <w:rPr>
                <w:color w:val="909090"/>
                <w:sz w:val="22"/>
                <w:szCs w:val="22"/>
              </w:rPr>
              <w:t xml:space="preserve">2026-10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240" w:before="240" w:line="312"/>
        <w:jc w:val="center"/>
      </w:pPr>
      <w:r>
        <w:rPr>
          <w:rFonts w:ascii="Arial" w:eastAsia="SimHei"/>
          <w:b/>
          <w:bCs/>
          <w:color w:val="1A2330"/>
          <w:sz w:val="32"/>
          <w:szCs w:val="32"/>
        </w:rPr>
        <w:t xml:space="preserve">摘　要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本设计面向 CPS 跨境支付测试数据集（C:/Users/139568/hsbc_data，81 个有效文件、四类资产混合、附带 15 条工程雷区）的知识库化清洗，在既有 V1.0 清洗产物（233 条三元组、240 条文本块、8 项隔离）基础上升级为 V2.0 详细设计。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核心设计：L0—L4 分层清洗流水线（原始只读→标准化→去重对齐→冲突融合→知识化），危险内容旁路隔离区；15 组清洗规则（隔离/去重/冲突标注/规范化四组）与雷区全量映射；conflict_ledger 冲突台账实现冲突不消失、裁决归人工；实体按业务宇宙加命名空间前缀杜绝跨系统误合并；新增运维日志、Mermaid 流程、耦合 JSON 三类模态解析；作为 clean 步骤嵌入知识库五步接入管线并与治理工作台闭环。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验收口径：废弃版本清除率 100%、雷区检测覆盖率 15/15、敏感内容漏放率 0、chunk 有效率不低于 95%、三元组抽检准确率不低于 90%、冲突闭环率 100%、幂等重跑一致。</w:t>
      </w:r>
    </w:p>
    <w:p>
      <w:pPr>
        <w:spacing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关键词：</w:t>
      </w:r>
      <w:r>
        <w:rPr>
          <w:rFonts w:ascii="Times New Roman" w:eastAsia="SimSun"/>
          <w:color w:val="000000"/>
          <w:sz w:val="24"/>
          <w:szCs w:val="24"/>
        </w:rPr>
        <w:t xml:space="preserve">数据清洗；知识图谱；向量检索语料；冲突对齐；实体消歧；隔离区</w:t>
      </w:r>
      <w:r>
        <w:br w:type="page"/>
      </w:r>
    </w:p>
    <w:p>
      <w:pPr>
        <w:spacing w:after="240" w:before="240" w:line="312"/>
        <w:jc w:val="center"/>
      </w:pPr>
      <w:r>
        <w:rPr>
          <w:rFonts w:ascii="Arial" w:eastAsia="SimHei"/>
          <w:b/>
          <w:bCs/>
          <w:color w:val="1A2330"/>
          <w:sz w:val="32"/>
          <w:szCs w:val="32"/>
        </w:rPr>
        <w:t xml:space="preserve">目　录</w:t>
      </w:r>
    </w:p>
    <w:sdt>
      <w:sdtPr>
        <w:alias w:val="Table of Contents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  <w:hyperlink w:history="1" w:anchor="_Toc1">
            <w:r>
              <w:t xml:space="preserve">1　引言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1.1　编制依据与数据基础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1.2　设计目标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1.3　范围与边界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2　数据现状盘点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2.1　目录结构与文件分布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2.2　已有 V1.0 清洗产物实测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2.3　关键实体与编号体系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3　数据质量问题分析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3.1　重复与废弃版本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3.2　跨源冲突（雷区主体）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3.3　敏感与合规风险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3.4　结构性噪声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3.5　跨宇宙实体冲突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3.6　V1.0 未覆盖模态（V2.0 补齐项）</w:t>
          </w:r>
          <w:r>
            <w:tab/>
          </w:r>
          <w:r>
            <w:t>6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4　清洗总体设计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4.1　设计原则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4.2　分层清洗架构（L0—L4）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4.3　与 V1.0 的兼容与升级</w:t>
          </w:r>
          <w:r>
            <w:tab/>
          </w:r>
          <w:r>
            <w:t>8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5　清洗规则详细设计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5.1　规则总表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5.2　代码类素材细则</w:t>
          </w:r>
          <w:r>
            <w:tab/>
          </w:r>
          <w:r>
            <w:t>10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5.3　文档类素材细则</w:t>
          </w:r>
          <w:r>
            <w:tab/>
          </w:r>
          <w:r>
            <w:t>10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5.4　V2.0 新增模态细则</w:t>
          </w:r>
          <w:r>
            <w:tab/>
          </w:r>
          <w:r>
            <w:t>11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6　冲突对齐与实体消歧</w:t>
          </w:r>
          <w:r>
            <w:tab/>
          </w:r>
          <w:r>
            <w:t>12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6.1　冲突台账（conflict_ledger）</w:t>
          </w:r>
          <w:r>
            <w:tab/>
          </w:r>
          <w:r>
            <w:t>12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6.2　命名空间与实体归一</w:t>
          </w:r>
          <w:r>
            <w:tab/>
          </w:r>
          <w:r>
            <w:t>12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6.3　版本族模型</w:t>
          </w:r>
          <w:r>
            <w:tab/>
          </w:r>
          <w:r>
            <w:t>12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7　清洗管线设计</w:t>
          </w:r>
          <w:r>
            <w:tab/>
          </w:r>
          <w:r>
            <w:t>13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7.1　与知识库接入管线的集成</w:t>
          </w:r>
          <w:r>
            <w:tab/>
          </w:r>
          <w:r>
            <w:t>13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7.2　幂等与重跑</w:t>
          </w:r>
          <w:r>
            <w:tab/>
          </w:r>
          <w:r>
            <w:t>13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7.3　manifest 结构</w:t>
          </w:r>
          <w:r>
            <w:tab/>
          </w:r>
          <w:r>
            <w:t>13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8　产出物与知识化对接</w:t>
          </w:r>
          <w:r>
            <w:tab/>
          </w:r>
          <w:r>
            <w:t>14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8.1　三元组入图谱</w:t>
          </w:r>
          <w:r>
            <w:tab/>
          </w:r>
          <w:r>
            <w:t>14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8.2　chunk 入向量库</w:t>
          </w:r>
          <w:r>
            <w:tab/>
          </w:r>
          <w:r>
            <w:t>14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8.3　治理任务生成</w:t>
          </w:r>
          <w:r>
            <w:tab/>
          </w:r>
          <w:r>
            <w:t>14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9　校验与验收</w:t>
          </w:r>
          <w:r>
            <w:tab/>
          </w:r>
          <w:r>
            <w:t>15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10　实施计划与风险</w:t>
          </w:r>
          <w:r>
            <w:tab/>
          </w:r>
          <w:r>
            <w:t>16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10.1　实施计划</w:t>
          </w:r>
          <w:r>
            <w:tab/>
          </w:r>
          <w:r>
            <w:t>16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10.2　风险与对策</w:t>
          </w:r>
          <w:r>
            <w:tab/>
          </w:r>
          <w:r>
            <w:t>16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附录 A　雷区清单与清洗规则映射</w:t>
          </w:r>
          <w:r>
            <w:tab/>
          </w:r>
          <w:r>
            <w:t>17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附录 B　产出物字段定义</w:t>
          </w:r>
          <w:r>
            <w:tab/>
          </w:r>
          <w:r>
            <w:t>18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附录 C　版本历史</w:t>
          </w:r>
          <w:r>
            <w:tab/>
          </w:r>
          <w:r>
            <w:t>19</w:t>
          </w:r>
        </w:p>
        <w:p>
          <w:r>
            <w:fldChar w:fldCharType="end"/>
          </w:r>
        </w:p>
      </w:sdtContent>
    </w:sdt>
    <w:p>
      <w:pPr>
        <w:spacing w:before="200"/>
        <w:sectPr>
          <w:headerReference w:type="default" r:id="rId6"/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注：本目录由域代码生成。文档编辑后如需确保页码准确，请在目录上右键选择更新域。</w:t>
      </w:r>
    </w:p>
    <w:p>
      <w:pPr>
        <w:pStyle w:val="Heading1"/>
        <w:keepNext/>
        <w:spacing w:after="200" w:before="360" w:line="312"/>
        <w:jc w:val="center"/>
      </w:pPr>
      <w:bookmarkStart w:name="_Toc1" w:id="1"/>
      <w:r>
        <w:rPr>
          <w:rFonts w:ascii="Arial" w:eastAsia="SimHei"/>
          <w:b/>
          <w:bCs/>
          <w:color w:val="1A2330"/>
          <w:sz w:val="32"/>
          <w:szCs w:val="32"/>
        </w:rPr>
        <w:t xml:space="preserve">1　引言</w:t>
      </w:r>
      <w:bookmarkEnd w:id="1"/>
    </w:p>
    <w:p>
      <w:pPr>
        <w:pStyle w:val="Heading2"/>
        <w:keepNext/>
        <w:spacing w:after="140" w:before="280" w:line="312"/>
      </w:pPr>
      <w:bookmarkStart w:name="_Toc2" w:id="2"/>
      <w:r>
        <w:rPr>
          <w:rFonts w:ascii="Arial" w:eastAsia="SimHei"/>
          <w:b/>
          <w:bCs/>
          <w:color w:val="1A2330"/>
          <w:sz w:val="30"/>
          <w:szCs w:val="30"/>
        </w:rPr>
        <w:t xml:space="preserve">1.1　编制依据与数据基础</w:t>
      </w:r>
      <w:bookmarkEnd w:id="2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本文依据两份材料编制：其一为 C:\Users\139568\hsbc_data 测试数据集（围绕虚构跨境支付系统 CPS 构造的四类资产混合数据集，含 07_derived 补齐区与 08_cleaned 已有 V1.0 清洗产物，2026-10-17 实测盘点）；其二为《某行知识库项目详细设计文档 V1.0》第 3 章（离线知识构建）与第 6.2 节（工具接口层）确定的接入管线框架。本文在 V1.0 清洗说明的基础上升级为可执行的详细设计。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编制前对数据集做了全量实测：81 个有效文件（另有 2 个非白名单扩展名跳过），按可信度分层为 A/B/C 三级（33/22/26 个）；已有清洗产出三元组 233 条、文本块 240 条、隔离记录 8 项；数据集中附带 15 条人为埋设的工程雷区清单（_LANDMINES.txt），是冲突检测规则设计的主要输入。</w:t>
      </w:r>
    </w:p>
    <w:p>
      <w:pPr>
        <w:pStyle w:val="Heading2"/>
        <w:keepNext/>
        <w:spacing w:after="140" w:before="280" w:line="312"/>
      </w:pPr>
      <w:bookmarkStart w:name="_Toc3" w:id="3"/>
      <w:r>
        <w:rPr>
          <w:rFonts w:ascii="Arial" w:eastAsia="SimHei"/>
          <w:b/>
          <w:bCs/>
          <w:color w:val="1A2330"/>
          <w:sz w:val="30"/>
          <w:szCs w:val="30"/>
        </w:rPr>
        <w:t xml:space="preserve">1.2　设计目标</w:t>
      </w:r>
      <w:bookmarkEnd w:id="3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清洗目标与知识库建设目标对齐：向量检索不能把互相冲突的业务规则一并召回，知识图谱不能出现错误的调用与实现关系，敏感内容（密钥、合规旁路）不能进入正库。具体拆解为五条：</w:t>
      </w:r>
    </w:p>
    <w:p>
      <w:pPr>
        <w:spacing w:after="40" w:line="312"/>
        <w:ind w:left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（1） </w:t>
      </w:r>
      <w:r>
        <w:rPr>
          <w:rFonts w:ascii="Times New Roman" w:eastAsia="SimSun"/>
          <w:color w:val="000000"/>
          <w:sz w:val="24"/>
          <w:szCs w:val="24"/>
        </w:rPr>
        <w:t xml:space="preserve">分层可信：每条产出记录携带 tier（A/B/C）、trust（0～1）、kind 三元元数据，检索与图谱按层过滤；</w:t>
      </w:r>
    </w:p>
    <w:p>
      <w:pPr>
        <w:spacing w:after="40" w:line="312"/>
        <w:ind w:left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（2） </w:t>
      </w:r>
      <w:r>
        <w:rPr>
          <w:rFonts w:ascii="Times New Roman" w:eastAsia="SimSun"/>
          <w:color w:val="000000"/>
          <w:sz w:val="24"/>
          <w:szCs w:val="24"/>
        </w:rPr>
        <w:t xml:space="preserve">风险隔离：密钥、合规旁路、废弃版本、常驻临时修复、死代码进入隔离区，默认不入正库，可显式标记后作对抗评测样本；</w:t>
      </w:r>
    </w:p>
    <w:p>
      <w:pPr>
        <w:spacing w:after="40" w:line="312"/>
        <w:ind w:left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（3） </w:t>
      </w:r>
      <w:r>
        <w:rPr>
          <w:rFonts w:ascii="Times New Roman" w:eastAsia="SimSun"/>
          <w:color w:val="000000"/>
          <w:sz w:val="24"/>
          <w:szCs w:val="24"/>
        </w:rPr>
        <w:t xml:space="preserve">冲突不盲并：跨系统同名实体、跨文档编号冲突（FR-001 与 FR-01）不合并，冲突信息双源标注交人工裁决；</w:t>
      </w:r>
    </w:p>
    <w:p>
      <w:pPr>
        <w:spacing w:after="40" w:line="312"/>
        <w:ind w:left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（4） </w:t>
      </w:r>
      <w:r>
        <w:rPr>
          <w:rFonts w:ascii="Times New Roman" w:eastAsia="SimSun"/>
          <w:color w:val="000000"/>
          <w:sz w:val="24"/>
          <w:szCs w:val="24"/>
        </w:rPr>
        <w:t xml:space="preserve">全程可追溯：每条三元组与文本块保留来源相对路径 path，隔离记录保留原因与预览；</w:t>
      </w:r>
    </w:p>
    <w:p>
      <w:pPr>
        <w:spacing w:after="40" w:line="312"/>
        <w:ind w:left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（5） </w:t>
      </w:r>
      <w:r>
        <w:rPr>
          <w:rFonts w:ascii="Times New Roman" w:eastAsia="SimSun"/>
          <w:color w:val="000000"/>
          <w:sz w:val="24"/>
          <w:szCs w:val="24"/>
        </w:rPr>
        <w:t xml:space="preserve">幂等可重跑：清洗管线可重复执行且结果稳定，与知识库五步接入管线（parse→tag→review→merge→index）无缝衔接。</w:t>
      </w:r>
    </w:p>
    <w:p>
      <w:pPr>
        <w:pStyle w:val="Heading2"/>
        <w:keepNext/>
        <w:spacing w:after="140" w:before="280" w:line="312"/>
      </w:pPr>
      <w:bookmarkStart w:name="_Toc4" w:id="4"/>
      <w:r>
        <w:rPr>
          <w:rFonts w:ascii="Arial" w:eastAsia="SimHei"/>
          <w:b/>
          <w:bCs/>
          <w:color w:val="1A2330"/>
          <w:sz w:val="30"/>
          <w:szCs w:val="30"/>
        </w:rPr>
        <w:t xml:space="preserve">1.3　范围与边界</w:t>
      </w:r>
      <w:bookmarkEnd w:id="4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范围：hsbc_data 全目录（01～04 原始区、07 衍生区、08 产出区）的清洗规则、流程、产出物结构与验收口径。边界：本设计不修改 L0 原始数据（只读）；清洗产出的入库与人工校对走知识库既有治理工作台，不在本文重复设计；数据集为合成测试数据，不含真实客户信息，故不涉及生产级脱敏流水线，仅做密钥形态检测。</w:t>
      </w:r>
    </w:p>
    <w:p>
      <w:pPr>
        <w:pStyle w:val="Heading1"/>
        <w:keepNext/>
        <w:pageBreakBefore/>
        <w:spacing w:after="200" w:before="360" w:line="312"/>
        <w:jc w:val="center"/>
      </w:pPr>
      <w:bookmarkStart w:name="_Toc5" w:id="5"/>
      <w:r>
        <w:rPr>
          <w:rFonts w:ascii="Arial" w:eastAsia="SimHei"/>
          <w:b/>
          <w:bCs/>
          <w:color w:val="1A2330"/>
          <w:sz w:val="32"/>
          <w:szCs w:val="32"/>
        </w:rPr>
        <w:t xml:space="preserve">2　数据现状盘点</w:t>
      </w:r>
      <w:bookmarkEnd w:id="5"/>
    </w:p>
    <w:p>
      <w:pPr>
        <w:pStyle w:val="Heading2"/>
        <w:keepNext/>
        <w:spacing w:after="140" w:before="280" w:line="312"/>
      </w:pPr>
      <w:bookmarkStart w:name="_Toc6" w:id="6"/>
      <w:r>
        <w:rPr>
          <w:rFonts w:ascii="Arial" w:eastAsia="SimHei"/>
          <w:b/>
          <w:bCs/>
          <w:color w:val="1A2330"/>
          <w:sz w:val="30"/>
          <w:szCs w:val="30"/>
        </w:rPr>
        <w:t xml:space="preserve">2.1　目录结构与文件分布</w:t>
      </w:r>
      <w:bookmarkEnd w:id="6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数据集总量约 2.6MB，目录按四类资产组织，另有 07 衍生补齐区与 08 清洗产出区。实测分布见表 1。</w:t>
      </w:r>
    </w:p>
    <w:p>
      <w:pPr>
        <w:keepNext/>
        <w:spacing w:after="80" w:before="160" w:line="312"/>
        <w:jc w:val="center"/>
      </w:pPr>
      <w:r>
        <w:rPr>
          <w:rFonts w:ascii="Arial" w:eastAsia="SimHei"/>
          <w:b/>
          <w:bCs/>
          <w:color w:val="1A2330"/>
          <w:sz w:val="21"/>
          <w:szCs w:val="21"/>
        </w:rPr>
        <w:t xml:space="preserve">表 1　数据集目录与实测盘点</w:t>
      </w:r>
    </w:p>
    <w:tbl>
      <w:tblPr>
        <w:tblW w:type="pct" w:w="5000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2"/>
          <w:insideV w:val="none" w:color="FFFFFF" w:sz="0"/>
        </w:tblBorders>
      </w:tblPr>
      <w:tblGrid>
        <w:gridCol w:w="2109"/>
        <w:gridCol w:w="3164"/>
        <w:gridCol w:w="1406"/>
        <w:gridCol w:w="2109"/>
      </w:tblGrid>
      <w:tr>
        <w:trPr>
          <w:cantSplit/>
          <w:tblHeader/>
        </w:trPr>
        <w:tc>
          <w:tcPr>
            <w:tcW w:type="pct" w:w="12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目录</w:t>
            </w:r>
          </w:p>
        </w:tc>
        <w:tc>
          <w:tcPr>
            <w:tcW w:type="pct" w:w="18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pct" w:w="8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文件数（tier）</w:t>
            </w:r>
          </w:p>
        </w:tc>
        <w:tc>
          <w:tcPr>
            <w:tcW w:type="pct" w:w="12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典型格式</w:t>
            </w:r>
          </w:p>
        </w:tc>
      </w:tr>
      <w:tr>
        <w:trPr>
          <w:cantSplit/>
        </w:trPr>
        <w:tc>
          <w:tcPr>
            <w:tcW w:type="pct" w:w="12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01_tech_docs</w:t>
            </w:r>
          </w:p>
        </w:tc>
        <w:tc>
          <w:tcPr>
            <w:tcW w:type="pct" w:w="18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架构设计书、MQ/REST 接口规范、部署手册、运维日志</w:t>
            </w:r>
          </w:p>
        </w:tc>
        <w:tc>
          <w:tcPr>
            <w:tcW w:type="pct" w:w="8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6（C）</w:t>
            </w:r>
          </w:p>
        </w:tc>
        <w:tc>
          <w:tcPr>
            <w:tcW w:type="pct" w:w="12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md / yaml / json / jsonl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02_code_assets</w:t>
            </w:r>
          </w:p>
        </w:tc>
        <w:tc>
          <w:tcPr>
            <w:tcW w:type="pct" w:w="1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CPS 合成代码 + GitHub 上游 COBOL（CardDemo、VAULT、zBANK 等）</w:t>
            </w:r>
          </w:p>
        </w:tc>
        <w:tc>
          <w:tcPr>
            <w:tcW w:type="pct" w:w="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33（A）+ 部分C</w:t>
            </w:r>
          </w:p>
        </w:tc>
        <w:tc>
          <w:tcPr>
            <w:tcW w:type="pct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cbl / cpy / jcl / rpgle / rex / mqsc / sql / sh / xml</w:t>
            </w:r>
          </w:p>
        </w:tc>
      </w:tr>
      <w:tr>
        <w:trPr>
          <w:cantSplit/>
        </w:trPr>
        <w:tc>
          <w:tcPr>
            <w:tcW w:type="pct" w:w="12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03_business_rules</w:t>
            </w:r>
          </w:p>
        </w:tc>
        <w:tc>
          <w:tcPr>
            <w:tcW w:type="pct" w:w="18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需求规格（SRS）、Mermaid 流程、SWIFT 报文规则、历史工单</w:t>
            </w:r>
          </w:p>
        </w:tc>
        <w:tc>
          <w:tcPr>
            <w:tcW w:type="pct" w:w="8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5（C）</w:t>
            </w:r>
          </w:p>
        </w:tc>
        <w:tc>
          <w:tcPr>
            <w:tcW w:type="pct" w:w="12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md / mmd / yaml / csv / json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04_system_metadata</w:t>
            </w:r>
          </w:p>
        </w:tc>
        <w:tc>
          <w:tcPr>
            <w:tcW w:type="pct" w:w="1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子系统调用矩阵、耦合度评估、模块依赖频次</w:t>
            </w:r>
          </w:p>
        </w:tc>
        <w:tc>
          <w:tcPr>
            <w:tcW w:type="pct" w:w="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3（B）</w:t>
            </w:r>
          </w:p>
        </w:tc>
        <w:tc>
          <w:tcPr>
            <w:tcW w:type="pct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csv / json</w:t>
            </w:r>
          </w:p>
        </w:tc>
      </w:tr>
      <w:tr>
        <w:trPr>
          <w:cantSplit/>
        </w:trPr>
        <w:tc>
          <w:tcPr>
            <w:tcW w:type="pct" w:w="12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07_derived</w:t>
            </w:r>
          </w:p>
        </w:tc>
        <w:tc>
          <w:tcPr>
            <w:tcW w:type="pct" w:w="18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由上游代码反推的文档与补齐代码（Card、VAULT 宇宙）</w:t>
            </w:r>
          </w:p>
        </w:tc>
        <w:tc>
          <w:tcPr>
            <w:tcW w:type="pct" w:w="8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22（B）</w:t>
            </w:r>
          </w:p>
        </w:tc>
        <w:tc>
          <w:tcPr>
            <w:tcW w:type="pct" w:w="12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md / cbl / jcl / csv / json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08_cleaned</w:t>
            </w:r>
          </w:p>
        </w:tc>
        <w:tc>
          <w:tcPr>
            <w:tcW w:type="pct" w:w="1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V1.0 清洗产出（脚本+四件套）与说明文档</w:t>
            </w:r>
          </w:p>
        </w:tc>
        <w:tc>
          <w:tcPr>
            <w:tcW w:type="pct" w:w="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py / jsonl / json / md</w:t>
            </w:r>
          </w:p>
        </w:tc>
      </w:tr>
    </w:tbl>
    <w:p>
      <w:pPr>
        <w:pStyle w:val="Heading2"/>
        <w:keepNext/>
        <w:spacing w:after="140" w:before="280" w:line="312"/>
      </w:pPr>
      <w:bookmarkStart w:name="_Toc7" w:id="7"/>
      <w:r>
        <w:rPr>
          <w:rFonts w:ascii="Arial" w:eastAsia="SimHei"/>
          <w:b/>
          <w:bCs/>
          <w:color w:val="1A2330"/>
          <w:sz w:val="30"/>
          <w:szCs w:val="30"/>
        </w:rPr>
        <w:t xml:space="preserve">2.2　已有 V1.0 清洗产物实测</w:t>
      </w:r>
      <w:bookmarkEnd w:id="7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08_cleaned 区已有一版可执行清洗（clean_corpus.py），产出统计见表 2。该版本建立了 tier/trust 分层、8 项隔离、实体消歧不跨宇宙合并三项基础能力，是本设计的直接基线。</w:t>
      </w:r>
    </w:p>
    <w:p>
      <w:pPr>
        <w:keepNext/>
        <w:spacing w:after="80" w:before="160" w:line="312"/>
        <w:jc w:val="center"/>
      </w:pPr>
      <w:r>
        <w:rPr>
          <w:rFonts w:ascii="Arial" w:eastAsia="SimHei"/>
          <w:b/>
          <w:bCs/>
          <w:color w:val="1A2330"/>
          <w:sz w:val="21"/>
          <w:szCs w:val="21"/>
        </w:rPr>
        <w:t xml:space="preserve">表 2　V1.0 清洗产出实测统计</w:t>
      </w:r>
    </w:p>
    <w:tbl>
      <w:tblPr>
        <w:tblW w:type="pct" w:w="5000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2"/>
          <w:insideV w:val="none" w:color="FFFFFF" w:sz="0"/>
        </w:tblBorders>
      </w:tblPr>
      <w:tblGrid>
        <w:gridCol w:w="1933"/>
        <w:gridCol w:w="1230"/>
        <w:gridCol w:w="5624"/>
      </w:tblGrid>
      <w:tr>
        <w:trPr>
          <w:cantSplit/>
          <w:tblHeader/>
        </w:trPr>
        <w:tc>
          <w:tcPr>
            <w:tcW w:type="pct" w:w="11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产出物</w:t>
            </w:r>
          </w:p>
        </w:tc>
        <w:tc>
          <w:tcPr>
            <w:tcW w:type="pct" w:w="7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规模</w:t>
            </w:r>
          </w:p>
        </w:tc>
        <w:tc>
          <w:tcPr>
            <w:tcW w:type="pct" w:w="32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构成明细</w:t>
            </w:r>
          </w:p>
        </w:tc>
      </w:tr>
      <w:tr>
        <w:trPr>
          <w:cantSplit/>
        </w:trPr>
        <w:tc>
          <w:tcPr>
            <w:tcW w:type="pct" w:w="11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kg_triples.jsonl</w:t>
            </w:r>
          </w:p>
        </w:tc>
        <w:tc>
          <w:tcPr>
            <w:tcW w:type="pct" w:w="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233 条</w:t>
            </w:r>
          </w:p>
        </w:tc>
        <w:tc>
          <w:tcPr>
            <w:tcW w:type="pct" w:w="32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uses_dataset 102｜type 61｜calls 39｜description 25｜has_tranid 4｜implemented_by 2；按层：A 165 / B 43 / C 25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vector_chunks.jsonl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240 条</w:t>
            </w:r>
          </w:p>
        </w:tc>
        <w:tc>
          <w:tcPr>
            <w:tcW w:type="pct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模态：code 204 / doc 36；按层：A 184 / B 24 / C 32；kind：upstream_code 184 / derived_from_code 21 / synthetic 35</w:t>
            </w:r>
          </w:p>
        </w:tc>
      </w:tr>
      <w:tr>
        <w:trPr>
          <w:cantSplit/>
        </w:trPr>
        <w:tc>
          <w:tcPr>
            <w:tcW w:type="pct" w:w="11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quarantine.jsonl</w:t>
            </w:r>
          </w:p>
        </w:tc>
        <w:tc>
          <w:tcPr>
            <w:tcW w:type="pct" w:w="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8 项</w:t>
            </w:r>
          </w:p>
        </w:tc>
        <w:tc>
          <w:tcPr>
            <w:tcW w:type="pct" w:w="32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名称命中 6（FIX_TMP、PYMAIN.OLD、PYRECON#.BAK、DLQ_REPLAY_V2、COMMON.cpy、_LANDMINES）+ 内容命中 2（VIP 旁路、失败 exit 0）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manifest.json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1 份</w:t>
            </w:r>
          </w:p>
        </w:tc>
        <w:tc>
          <w:tcPr>
            <w:tcW w:type="pct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生成时间、根路径、分层统计、消歧注意事项（FR 编号不跨宇宙合并）</w:t>
            </w:r>
          </w:p>
        </w:tc>
      </w:tr>
    </w:tbl>
    <w:p>
      <w:pPr>
        <w:pStyle w:val="Heading2"/>
        <w:keepNext/>
        <w:spacing w:after="140" w:before="280" w:line="312"/>
      </w:pPr>
      <w:bookmarkStart w:name="_Toc8" w:id="8"/>
      <w:r>
        <w:rPr>
          <w:rFonts w:ascii="Arial" w:eastAsia="SimHei"/>
          <w:b/>
          <w:bCs/>
          <w:color w:val="1A2330"/>
          <w:sz w:val="30"/>
          <w:szCs w:val="30"/>
        </w:rPr>
        <w:t xml:space="preserve">2.3　关键实体与编号体系</w:t>
      </w:r>
      <w:bookmarkEnd w:id="8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数据集横跨多个业务宇宙：CPS 合成系统（程序 PYMAIN/PYVAL/PYROUTE/PYPOST，交易 PYIN/PYOT/PYST/PYFX，队列 CPS.IN.Q 等）、CardDemo、VAULT、zBANK、LEDGER 五套上游代码宇宙，以及 07_derived 反推的 CARD-VAULT 宇宙。需求编号、程序名、日终与制裁筛查等实体在宇宙间存在同名或近义（如 CPS 的 FR-001 与 CARD 的 FR-01，CPS 的 PYRECON# 日终与 VAULT 的 EODPROC0 日终），实体消歧是清洗设计的核心约束之一。</w:t>
      </w:r>
    </w:p>
    <w:p>
      <w:pPr>
        <w:pStyle w:val="Heading1"/>
        <w:keepNext/>
        <w:pageBreakBefore/>
        <w:spacing w:after="200" w:before="360" w:line="312"/>
        <w:jc w:val="center"/>
      </w:pPr>
      <w:bookmarkStart w:name="_Toc9" w:id="9"/>
      <w:r>
        <w:rPr>
          <w:rFonts w:ascii="Arial" w:eastAsia="SimHei"/>
          <w:b/>
          <w:bCs/>
          <w:color w:val="1A2330"/>
          <w:sz w:val="32"/>
          <w:szCs w:val="32"/>
        </w:rPr>
        <w:t xml:space="preserve">3　数据质量问题分析</w:t>
      </w:r>
      <w:bookmarkEnd w:id="9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基于全量实测与数据集自带的 15 条雷区清单，将质量问题归为六类。问题清单驱动第 5 章规则设计，完整映射见附录 A。</w:t>
      </w:r>
    </w:p>
    <w:p>
      <w:pPr>
        <w:pStyle w:val="Heading2"/>
        <w:keepNext/>
        <w:spacing w:after="140" w:before="280" w:line="312"/>
      </w:pPr>
      <w:bookmarkStart w:name="_Toc10" w:id="10"/>
      <w:r>
        <w:rPr>
          <w:rFonts w:ascii="Arial" w:eastAsia="SimHei"/>
          <w:b/>
          <w:bCs/>
          <w:color w:val="1A2330"/>
          <w:sz w:val="30"/>
          <w:szCs w:val="30"/>
        </w:rPr>
        <w:t xml:space="preserve">3.1　重复与废弃版本</w:t>
      </w:r>
      <w:bookmarkEnd w:id="10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同一程序存在并存多版本：PYMAIN.cbl（486 行，现行）与 PYMAIN.OLD.cbl（16 行，废弃残片）；PYRECON#.jcl（241 行）与 PYRECON#.BAK.jcl（5 行）；DLQ 回放脚本 V1 与 V2 同处 crontab（雷区第 12 条）。若不加处理直接入库，废弃版本会污染调用链并稀释检索权重。</w:t>
      </w:r>
    </w:p>
    <w:p>
      <w:pPr>
        <w:pStyle w:val="Heading2"/>
        <w:keepNext/>
        <w:spacing w:after="140" w:before="280" w:line="312"/>
      </w:pPr>
      <w:bookmarkStart w:name="_Toc11" w:id="11"/>
      <w:r>
        <w:rPr>
          <w:rFonts w:ascii="Arial" w:eastAsia="SimHei"/>
          <w:b/>
          <w:bCs/>
          <w:color w:val="1A2330"/>
          <w:sz w:val="30"/>
          <w:szCs w:val="30"/>
        </w:rPr>
        <w:t xml:space="preserve">3.2　跨源冲突（雷区主体）</w:t>
      </w:r>
      <w:bookmarkEnd w:id="11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文档与代码、代码与代码之间存在行为级冲突：PYPOST 三套手续费（fee v1/v2/v3）实际按币种路由而文档未记载（雷区 2）；PYROUTE 人民币路由表重复项 last-wins 生效走 SWIFT 而非 CNAPS（雷区 3）；对账存储过程使用 C.AMOUNT 减 C.AMOUNT 恒为零差的疑似缺陷逻辑（雷区 11）；CICS 分脑（CPSGRP 与 CPSGRP2 对 CPSP001/CPSP002 配置不一致，雷区 9）；COM-TEST-MODE 测试开关常忘复位（雷区 14）。此类冲突不能靠规则自动裁决，必须双源标注后进入人工复核。</w:t>
      </w:r>
    </w:p>
    <w:p>
      <w:pPr>
        <w:pStyle w:val="Heading2"/>
        <w:keepNext/>
        <w:spacing w:after="140" w:before="280" w:line="312"/>
      </w:pPr>
      <w:bookmarkStart w:name="_Toc12" w:id="12"/>
      <w:r>
        <w:rPr>
          <w:rFonts w:ascii="Arial" w:eastAsia="SimHei"/>
          <w:b/>
          <w:bCs/>
          <w:color w:val="1A2330"/>
          <w:sz w:val="30"/>
          <w:szCs w:val="30"/>
        </w:rPr>
        <w:t xml:space="preserve">3.3　敏感与合规风险</w:t>
      </w:r>
      <w:bookmarkEnd w:id="12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部署冒烟脚本含硬编码密钥（实测命中 P@ss/client_secret 形态，雷区 13）；PYMAIN 存在 VIP 名单跳过反洗钱筛查的合规旁路（雷区 1，且雷区笔记要求审计时不得提及——清洗侧应隔离并保留证据链，而非删除）；雷区笔记本身含旁路清单，不应作为正规则入库。</w:t>
      </w:r>
    </w:p>
    <w:p>
      <w:pPr>
        <w:pStyle w:val="Heading2"/>
        <w:keepNext/>
        <w:spacing w:after="140" w:before="280" w:line="312"/>
      </w:pPr>
      <w:bookmarkStart w:name="_Toc13" w:id="13"/>
      <w:r>
        <w:rPr>
          <w:rFonts w:ascii="Arial" w:eastAsia="SimHei"/>
          <w:b/>
          <w:bCs/>
          <w:color w:val="1A2330"/>
          <w:sz w:val="30"/>
          <w:szCs w:val="30"/>
        </w:rPr>
        <w:t xml:space="preserve">3.4　结构性噪声</w:t>
      </w:r>
      <w:bookmarkEnd w:id="13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上游代码带大段 Apache/Amazon 版权头（裁剪至 PROGRAM-ID）；COACTUPC.cbl 达 178KB（约 4000 行）、COCRDUPC 123KB、COCRDLIC 114KB，整文件向量化不可行必须切块；7777-DEAD-CODE 死代码仍被链接（雷区 15）；冒烟脚本失败仍 exit 0 导致流水线常绿（雷区 6）；退役人员邮箱仍在告警配置（雷区 5）。</w:t>
      </w:r>
    </w:p>
    <w:p>
      <w:pPr>
        <w:pStyle w:val="Heading2"/>
        <w:keepNext/>
        <w:spacing w:after="140" w:before="280" w:line="312"/>
      </w:pPr>
      <w:bookmarkStart w:name="_Toc14" w:id="14"/>
      <w:r>
        <w:rPr>
          <w:rFonts w:ascii="Arial" w:eastAsia="SimHei"/>
          <w:b/>
          <w:bCs/>
          <w:color w:val="1A2330"/>
          <w:sz w:val="30"/>
          <w:szCs w:val="30"/>
        </w:rPr>
        <w:t xml:space="preserve">3.5　跨宇宙实体冲突</w:t>
      </w:r>
      <w:bookmarkEnd w:id="14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需求编号 FR-001（CPS-SWIFT）与 FR-01（CARD-VAULT）形似实异；PYMAIN 与 COACTUPC 分属不同系统；制裁筛查 AML*（CPS）与 OFACCHK0（VAULT）、日终 PYRECON#（CPS）与 EODPROC0（VAULT）语义同类但实例不同。V1.0 已确立不跨宇宙合并原则，本设计将其固化为命名空间规则。</w:t>
      </w:r>
    </w:p>
    <w:p>
      <w:pPr>
        <w:pStyle w:val="Heading2"/>
        <w:keepNext/>
        <w:spacing w:after="140" w:before="280" w:line="312"/>
      </w:pPr>
      <w:bookmarkStart w:name="_Toc15" w:id="15"/>
      <w:r>
        <w:rPr>
          <w:rFonts w:ascii="Arial" w:eastAsia="SimHei"/>
          <w:b/>
          <w:bCs/>
          <w:color w:val="1A2330"/>
          <w:sz w:val="30"/>
          <w:szCs w:val="30"/>
        </w:rPr>
        <w:t xml:space="preserve">3.6　V1.0 未覆盖模态（V2.0 补齐项）</w:t>
      </w:r>
      <w:bookmarkEnd w:id="15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实测发现三类素材未进入任何产出：运维日志（ops_*.jsonl，两天 JSONL，字段 ts/level/source/txn/msg）未产出 chunk 与事件三元组；Mermaid 流程图（.mmd）未解析为流程步骤；耦合度评估 JSON（modules/pair_dependencies）未转为图谱加权边。此外雷区 15 条中内容级自动检测仅覆盖 2 条，其余依赖名称命中，覆盖不足。</w:t>
      </w:r>
    </w:p>
    <w:p>
      <w:pPr>
        <w:pStyle w:val="Heading1"/>
        <w:keepNext/>
        <w:pageBreakBefore/>
        <w:spacing w:after="200" w:before="360" w:line="312"/>
        <w:jc w:val="center"/>
      </w:pPr>
      <w:bookmarkStart w:name="_Toc16" w:id="16"/>
      <w:r>
        <w:rPr>
          <w:rFonts w:ascii="Arial" w:eastAsia="SimHei"/>
          <w:b/>
          <w:bCs/>
          <w:color w:val="1A2330"/>
          <w:sz w:val="32"/>
          <w:szCs w:val="32"/>
        </w:rPr>
        <w:t xml:space="preserve">4　清洗总体设计</w:t>
      </w:r>
      <w:bookmarkEnd w:id="16"/>
    </w:p>
    <w:p>
      <w:pPr>
        <w:pStyle w:val="Heading2"/>
        <w:keepNext/>
        <w:spacing w:after="140" w:before="280" w:line="312"/>
      </w:pPr>
      <w:bookmarkStart w:name="_Toc17" w:id="17"/>
      <w:r>
        <w:rPr>
          <w:rFonts w:ascii="Arial" w:eastAsia="SimHei"/>
          <w:b/>
          <w:bCs/>
          <w:color w:val="1A2330"/>
          <w:sz w:val="30"/>
          <w:szCs w:val="30"/>
        </w:rPr>
        <w:t xml:space="preserve">4.1　设计原则</w:t>
      </w:r>
      <w:bookmarkEnd w:id="17"/>
    </w:p>
    <w:p>
      <w:pPr>
        <w:spacing w:after="40" w:line="312"/>
        <w:ind w:left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（1） </w:t>
      </w:r>
      <w:r>
        <w:rPr>
          <w:rFonts w:ascii="Times New Roman" w:eastAsia="SimSun"/>
          <w:color w:val="000000"/>
          <w:sz w:val="24"/>
          <w:szCs w:val="24"/>
        </w:rPr>
        <w:t xml:space="preserve">原始只读：L0 永不修改，所有清洗产物落在 08_cleaned 产出区，可随时删产物重跑；</w:t>
      </w:r>
    </w:p>
    <w:p>
      <w:pPr>
        <w:spacing w:after="40" w:line="312"/>
        <w:ind w:left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（2） </w:t>
      </w:r>
      <w:r>
        <w:rPr>
          <w:rFonts w:ascii="Times New Roman" w:eastAsia="SimSun"/>
          <w:color w:val="000000"/>
          <w:sz w:val="24"/>
          <w:szCs w:val="24"/>
        </w:rPr>
        <w:t xml:space="preserve">先隔离后清洗：宁可多隔离不可漏放行，隔离区支持人工复审后降权回流（role=adversarial 标记）；</w:t>
      </w:r>
    </w:p>
    <w:p>
      <w:pPr>
        <w:spacing w:after="40" w:line="312"/>
        <w:ind w:left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（3） </w:t>
      </w:r>
      <w:r>
        <w:rPr>
          <w:rFonts w:ascii="Times New Roman" w:eastAsia="SimSun"/>
          <w:color w:val="000000"/>
          <w:sz w:val="24"/>
          <w:szCs w:val="24"/>
        </w:rPr>
        <w:t xml:space="preserve">冲突不消失：自动规则只标注不裁决，裁决权在治理工作台的人工复核；</w:t>
      </w:r>
    </w:p>
    <w:p>
      <w:pPr>
        <w:spacing w:after="40" w:line="312"/>
        <w:ind w:left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（4） </w:t>
      </w:r>
      <w:r>
        <w:rPr>
          <w:rFonts w:ascii="Times New Roman" w:eastAsia="SimSun"/>
          <w:color w:val="000000"/>
          <w:sz w:val="24"/>
          <w:szCs w:val="24"/>
        </w:rPr>
        <w:t xml:space="preserve">分层可信复用 V1.0 体系：tier A/B/C + trust 数值 + kind 分类，检索侧按层过滤（生产问答取 A/B，合成场景评测单独用 C）；</w:t>
      </w:r>
    </w:p>
    <w:p>
      <w:pPr>
        <w:spacing w:after="40" w:line="312"/>
        <w:ind w:left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（5） </w:t>
      </w:r>
      <w:r>
        <w:rPr>
          <w:rFonts w:ascii="Times New Roman" w:eastAsia="SimSun"/>
          <w:color w:val="000000"/>
          <w:sz w:val="24"/>
          <w:szCs w:val="24"/>
        </w:rPr>
        <w:t xml:space="preserve">幂等与可审计：脚本重跑结果稳定，manifest 记录每次运行的完整统计与跳过原因。</w:t>
      </w:r>
    </w:p>
    <w:p>
      <w:pPr>
        <w:pStyle w:val="Heading2"/>
        <w:keepNext/>
        <w:spacing w:after="140" w:before="280" w:line="312"/>
      </w:pPr>
      <w:bookmarkStart w:name="_Toc18" w:id="18"/>
      <w:r>
        <w:rPr>
          <w:rFonts w:ascii="Arial" w:eastAsia="SimHei"/>
          <w:b/>
          <w:bCs/>
          <w:color w:val="1A2330"/>
          <w:sz w:val="30"/>
          <w:szCs w:val="30"/>
        </w:rPr>
        <w:t xml:space="preserve">4.2　分层清洗架构（L0—L4）</w:t>
      </w:r>
      <w:bookmarkEnd w:id="18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清洗流水线分五层：L0 原始数据层（只读）；L1 标准化（编码、换行、版权头、体积白名单）；L2 去重对齐（版本族识别、latest_wins+flag、实体对齐）；L3 冲突融合（跨宇宙消歧、双源标注、分层打标）；L4 知识化（三元组抽取、chunk 切块、检索元数据）。危险内容在 L1～L4 各层均可旁路进入隔离区。总体结构如图 1。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50545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12"/>
        <w:jc w:val="center"/>
      </w:pPr>
      <w:r>
        <w:rPr>
          <w:rFonts w:ascii="Arial" w:eastAsia="SimHei"/>
          <w:b/>
          <w:bCs/>
          <w:color w:val="1A2330"/>
          <w:sz w:val="21"/>
          <w:szCs w:val="21"/>
        </w:rPr>
        <w:t xml:space="preserve">图 1　数据清洗分层流水线（L0—L4 与隔离支路）</w:t>
      </w:r>
    </w:p>
    <w:p>
      <w:pPr>
        <w:pStyle w:val="Heading2"/>
        <w:keepNext/>
        <w:spacing w:after="140" w:before="280" w:line="312"/>
      </w:pPr>
      <w:bookmarkStart w:name="_Toc19" w:id="19"/>
      <w:r>
        <w:rPr>
          <w:rFonts w:ascii="Arial" w:eastAsia="SimHei"/>
          <w:b/>
          <w:bCs/>
          <w:color w:val="1A2330"/>
          <w:sz w:val="30"/>
          <w:szCs w:val="30"/>
        </w:rPr>
        <w:t xml:space="preserve">4.3　与 V1.0 的兼容与升级</w:t>
      </w:r>
      <w:bookmarkEnd w:id="19"/>
    </w:p>
    <w:p>
      <w:pPr>
        <w:keepNext/>
        <w:spacing w:after="80" w:before="160" w:line="312"/>
        <w:jc w:val="center"/>
      </w:pPr>
      <w:r>
        <w:rPr>
          <w:rFonts w:ascii="Arial" w:eastAsia="SimHei"/>
          <w:b/>
          <w:bCs/>
          <w:color w:val="1A2330"/>
          <w:sz w:val="21"/>
          <w:szCs w:val="21"/>
        </w:rPr>
        <w:t xml:space="preserve">表 3　V2.0 相对 V1.0 的升级项</w:t>
      </w:r>
    </w:p>
    <w:tbl>
      <w:tblPr>
        <w:tblW w:type="pct" w:w="5000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2"/>
          <w:insideV w:val="none" w:color="FFFFFF" w:sz="0"/>
        </w:tblBorders>
      </w:tblPr>
      <w:tblGrid>
        <w:gridCol w:w="1230"/>
        <w:gridCol w:w="2988"/>
        <w:gridCol w:w="4570"/>
      </w:tblGrid>
      <w:tr>
        <w:trPr>
          <w:cantSplit/>
          <w:tblHeader/>
        </w:trPr>
        <w:tc>
          <w:tcPr>
            <w:tcW w:type="pct" w:w="7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方面</w:t>
            </w:r>
          </w:p>
        </w:tc>
        <w:tc>
          <w:tcPr>
            <w:tcW w:type="pct" w:w="17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V1.0 现状</w:t>
            </w:r>
          </w:p>
        </w:tc>
        <w:tc>
          <w:tcPr>
            <w:tcW w:type="pct" w:w="26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V2.0 设计</w:t>
            </w:r>
          </w:p>
        </w:tc>
      </w:tr>
      <w:tr>
        <w:trPr>
          <w:cantSplit/>
        </w:trPr>
        <w:tc>
          <w:tcPr>
            <w:tcW w:type="pct" w:w="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隔离检测</w:t>
            </w:r>
          </w:p>
        </w:tc>
        <w:tc>
          <w:tcPr>
            <w:tcW w:type="pct" w:w="1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名称命中 6 项 + 内容正则 2 项</w:t>
            </w:r>
          </w:p>
        </w:tc>
        <w:tc>
          <w:tcPr>
            <w:tcW w:type="pct" w:w="26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雷区 15 条全量映射为内容级检测规则（附录 A），新增自明无效逻辑、虚假成功、失效联系人等检测器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模态覆盖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仅 code/doc 两模态</w:t>
            </w:r>
          </w:p>
        </w:tc>
        <w:tc>
          <w:tcPr>
            <w:tcW w:type="pct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新增运维日志（事件 chunk + 事件三元组）、Mermaid 流程（步骤序列）、耦合 JSON（加权边）</w:t>
            </w:r>
          </w:p>
        </w:tc>
      </w:tr>
      <w:tr>
        <w:trPr>
          <w:cantSplit/>
        </w:trPr>
        <w:tc>
          <w:tcPr>
            <w:tcW w:type="pct" w:w="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版本对齐</w:t>
            </w:r>
          </w:p>
        </w:tc>
        <w:tc>
          <w:tcPr>
            <w:tcW w:type="pct" w:w="1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按文件名隔离废弃版</w:t>
            </w:r>
          </w:p>
        </w:tc>
        <w:tc>
          <w:tcPr>
            <w:tcW w:type="pct" w:w="26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版本族模型：主版本 + 旁路版本（.OLD/.BAK/V1V2）统一登记，latest_wins 且差异 flag 保留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冲突处置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跨宇宙不合并</w:t>
            </w:r>
          </w:p>
        </w:tc>
        <w:tc>
          <w:tcPr>
            <w:tcW w:type="pct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新增冲突台账 conflict_ledger.jsonl：双源证据、置信度、裁决状态，对接治理工作台</w:t>
            </w:r>
          </w:p>
        </w:tc>
      </w:tr>
      <w:tr>
        <w:trPr>
          <w:cantSplit/>
        </w:trPr>
        <w:tc>
          <w:tcPr>
            <w:tcW w:type="pct" w:w="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管线集成</w:t>
            </w:r>
          </w:p>
        </w:tc>
        <w:tc>
          <w:tcPr>
            <w:tcW w:type="pct" w:w="1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独立脚本</w:t>
            </w:r>
          </w:p>
        </w:tc>
        <w:tc>
          <w:tcPr>
            <w:tcW w:type="pct" w:w="26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作为 clean 步骤嵌入知识库五步管线（parse→clean→tag→review→merge→index），打标任务自动生成</w:t>
            </w:r>
          </w:p>
        </w:tc>
      </w:tr>
    </w:tbl>
    <w:p>
      <w:pPr>
        <w:pStyle w:val="Heading1"/>
        <w:keepNext/>
        <w:pageBreakBefore/>
        <w:spacing w:after="200" w:before="360" w:line="312"/>
        <w:jc w:val="center"/>
      </w:pPr>
      <w:bookmarkStart w:name="_Toc20" w:id="20"/>
      <w:r>
        <w:rPr>
          <w:rFonts w:ascii="Arial" w:eastAsia="SimHei"/>
          <w:b/>
          <w:bCs/>
          <w:color w:val="1A2330"/>
          <w:sz w:val="32"/>
          <w:szCs w:val="32"/>
        </w:rPr>
        <w:t xml:space="preserve">5　清洗规则详细设计</w:t>
      </w:r>
      <w:bookmarkEnd w:id="20"/>
    </w:p>
    <w:p>
      <w:pPr>
        <w:pStyle w:val="Heading2"/>
        <w:keepNext/>
        <w:spacing w:after="140" w:before="280" w:line="312"/>
      </w:pPr>
      <w:bookmarkStart w:name="_Toc21" w:id="21"/>
      <w:r>
        <w:rPr>
          <w:rFonts w:ascii="Arial" w:eastAsia="SimHei"/>
          <w:b/>
          <w:bCs/>
          <w:color w:val="1A2330"/>
          <w:sz w:val="30"/>
          <w:szCs w:val="30"/>
        </w:rPr>
        <w:t xml:space="preserve">5.1　规则总表</w:t>
      </w:r>
      <w:bookmarkEnd w:id="21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规则按处置方式分四组：Q 组（隔离 Quarantine）、D 组（去重版本 Dedup）、C 组（冲突标注 Conflict）、N 组（规范化 Normalize）。规则编号在全文档与附录 A 映射表中统一使用。</w:t>
      </w:r>
    </w:p>
    <w:p>
      <w:pPr>
        <w:keepNext/>
        <w:spacing w:after="80" w:before="160" w:line="312"/>
        <w:jc w:val="center"/>
      </w:pPr>
      <w:r>
        <w:rPr>
          <w:rFonts w:ascii="Arial" w:eastAsia="SimHei"/>
          <w:b/>
          <w:bCs/>
          <w:color w:val="1A2330"/>
          <w:sz w:val="21"/>
          <w:szCs w:val="21"/>
        </w:rPr>
        <w:t xml:space="preserve">表 4　清洗规则总表</w:t>
      </w:r>
    </w:p>
    <w:tbl>
      <w:tblPr>
        <w:tblW w:type="pct" w:w="5000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2"/>
          <w:insideV w:val="none" w:color="FFFFFF" w:sz="0"/>
        </w:tblBorders>
      </w:tblPr>
      <w:tblGrid>
        <w:gridCol w:w="703"/>
        <w:gridCol w:w="1318"/>
        <w:gridCol w:w="2636"/>
        <w:gridCol w:w="2285"/>
        <w:gridCol w:w="1845"/>
      </w:tblGrid>
      <w:tr>
        <w:trPr>
          <w:cantSplit/>
          <w:tblHeader/>
        </w:trPr>
        <w:tc>
          <w:tcPr>
            <w:tcW w:type="pct" w:w="4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pct" w:w="75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规则</w:t>
            </w:r>
          </w:p>
        </w:tc>
        <w:tc>
          <w:tcPr>
            <w:tcW w:type="pct" w:w="15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pct" w:w="13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处置</w:t>
            </w:r>
          </w:p>
        </w:tc>
        <w:tc>
          <w:tcPr>
            <w:tcW w:type="pct" w:w="105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输出去向</w:t>
            </w:r>
          </w:p>
        </w:tc>
      </w:tr>
      <w:tr>
        <w:trPr>
          <w:cantSplit/>
        </w:trPr>
        <w:tc>
          <w:tcPr>
            <w:tcW w:type="pct" w:w="4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R-Q1</w:t>
            </w:r>
          </w:p>
        </w:tc>
        <w:tc>
          <w:tcPr>
            <w:tcW w:type="pct" w:w="75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危险资产隔离</w:t>
            </w:r>
          </w:p>
        </w:tc>
        <w:tc>
          <w:tcPr>
            <w:tcW w:type="pct" w:w="15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文件名命中 FIX_TMP_*、*.OLD、*.BAK、COMMON.cpy、*DLQ_REPLAY_V2*、_LANDMINES*</w:t>
            </w:r>
          </w:p>
        </w:tc>
        <w:tc>
          <w:tcPr>
            <w:tcW w:type="pct" w:w="13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整文件隔离，不入正库</w:t>
            </w:r>
          </w:p>
        </w:tc>
        <w:tc>
          <w:tcPr>
            <w:tcW w:type="pct" w:w="105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quarantine.jsonl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R-Q2</w:t>
            </w:r>
          </w:p>
        </w:tc>
        <w:tc>
          <w:tcPr>
            <w:tcW w:type="pct" w:w="7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敏感内容隔离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正则命中密钥形态（P@ss、client_secret=）、合规旁路（VIP skip AML、TESTSKIPAML）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整文件隔离 + 命中行预览留存</w:t>
            </w:r>
          </w:p>
        </w:tc>
        <w:tc>
          <w:tcPr>
            <w:tcW w:type="pct" w:w="10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quarantine.jsonl</w:t>
            </w:r>
          </w:p>
        </w:tc>
      </w:tr>
      <w:tr>
        <w:trPr>
          <w:cantSplit/>
        </w:trPr>
        <w:tc>
          <w:tcPr>
            <w:tcW w:type="pct" w:w="4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R-Q3</w:t>
            </w:r>
          </w:p>
        </w:tc>
        <w:tc>
          <w:tcPr>
            <w:tcW w:type="pct" w:w="75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虚假成功检测</w:t>
            </w:r>
          </w:p>
        </w:tc>
        <w:tc>
          <w:tcPr>
            <w:tcW w:type="pct" w:w="15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脚本含失败分支仍 exit 0、jenkins green 注释模式</w:t>
            </w:r>
          </w:p>
        </w:tc>
        <w:tc>
          <w:tcPr>
            <w:tcW w:type="pct" w:w="13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隔离 + adversarial 标记</w:t>
            </w:r>
          </w:p>
        </w:tc>
        <w:tc>
          <w:tcPr>
            <w:tcW w:type="pct" w:w="105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quarantine.jsonl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R-Q4</w:t>
            </w:r>
          </w:p>
        </w:tc>
        <w:tc>
          <w:tcPr>
            <w:tcW w:type="pct" w:w="7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死代码隔离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7777-DEAD-CODE、DO NOT USE、dont submit 注释模式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段落级隔离（保留程序主体）</w:t>
            </w:r>
          </w:p>
        </w:tc>
        <w:tc>
          <w:tcPr>
            <w:tcW w:type="pct" w:w="10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quarantine.jsonl（段落级）</w:t>
            </w:r>
          </w:p>
        </w:tc>
      </w:tr>
      <w:tr>
        <w:trPr>
          <w:cantSplit/>
        </w:trPr>
        <w:tc>
          <w:tcPr>
            <w:tcW w:type="pct" w:w="4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R-D1</w:t>
            </w:r>
          </w:p>
        </w:tc>
        <w:tc>
          <w:tcPr>
            <w:tcW w:type="pct" w:w="75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版本族识别</w:t>
            </w:r>
          </w:p>
        </w:tc>
        <w:tc>
          <w:tcPr>
            <w:tcW w:type="pct" w:w="15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同主名多扩展（.OLD/.BAK/_V2）或同前缀多实现</w:t>
            </w:r>
          </w:p>
        </w:tc>
        <w:tc>
          <w:tcPr>
            <w:tcW w:type="pct" w:w="13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latest_wins：主版本入正库，旁路版本降权并 flag</w:t>
            </w:r>
          </w:p>
        </w:tc>
        <w:tc>
          <w:tcPr>
            <w:tcW w:type="pct" w:w="105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conflict_ledger + manifest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R-D2</w:t>
            </w:r>
          </w:p>
        </w:tc>
        <w:tc>
          <w:tcPr>
            <w:tcW w:type="pct" w:w="7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双跑实例标注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crontab/编排中同功能多版本并存（DLQ V1/V2）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两版均保留，运行状态待人工确认</w:t>
            </w:r>
          </w:p>
        </w:tc>
        <w:tc>
          <w:tcPr>
            <w:tcW w:type="pct" w:w="10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conflict_ledger</w:t>
            </w:r>
          </w:p>
        </w:tc>
      </w:tr>
      <w:tr>
        <w:trPr>
          <w:cantSplit/>
        </w:trPr>
        <w:tc>
          <w:tcPr>
            <w:tcW w:type="pct" w:w="4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R-C1</w:t>
            </w:r>
          </w:p>
        </w:tc>
        <w:tc>
          <w:tcPr>
            <w:tcW w:type="pct" w:w="75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跨宇宙消歧</w:t>
            </w:r>
          </w:p>
        </w:tc>
        <w:tc>
          <w:tcPr>
            <w:tcW w:type="pct" w:w="15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实体名相同但 universe 不同（FR-001/FR-01、同名日终）</w:t>
            </w:r>
          </w:p>
        </w:tc>
        <w:tc>
          <w:tcPr>
            <w:tcW w:type="pct" w:w="13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节点 ID 加前缀 CPS:/CARD:/VAULT:，不合并</w:t>
            </w:r>
          </w:p>
        </w:tc>
        <w:tc>
          <w:tcPr>
            <w:tcW w:type="pct" w:w="105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kg_triples（带 universe 字段）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R-C2</w:t>
            </w:r>
          </w:p>
        </w:tc>
        <w:tc>
          <w:tcPr>
            <w:tcW w:type="pct" w:w="7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文档-代码行为差异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文档宣称逻辑与代码分支不一致（fee v1/v2/v3 按币种路由）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双源标注：两侧证据各成记录并互引</w:t>
            </w:r>
          </w:p>
        </w:tc>
        <w:tc>
          <w:tcPr>
            <w:tcW w:type="pct" w:w="10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conflict_ledger</w:t>
            </w:r>
          </w:p>
        </w:tc>
      </w:tr>
      <w:tr>
        <w:trPr>
          <w:cantSplit/>
        </w:trPr>
        <w:tc>
          <w:tcPr>
            <w:tcW w:type="pct" w:w="4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R-C3</w:t>
            </w:r>
          </w:p>
        </w:tc>
        <w:tc>
          <w:tcPr>
            <w:tcW w:type="pct" w:w="75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重复配置项</w:t>
            </w:r>
          </w:p>
        </w:tc>
        <w:tc>
          <w:tcPr>
            <w:tcW w:type="pct" w:w="15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同键重复定义且 last-wins 语义（PYROUTE CNY 双路由）</w:t>
            </w:r>
          </w:p>
        </w:tc>
        <w:tc>
          <w:tcPr>
            <w:tcW w:type="pct" w:w="13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两值均保留并标注生效侧，待人工裁决</w:t>
            </w:r>
          </w:p>
        </w:tc>
        <w:tc>
          <w:tcPr>
            <w:tcW w:type="pct" w:w="105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conflict_ledger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R-C4</w:t>
            </w:r>
          </w:p>
        </w:tc>
        <w:tc>
          <w:tcPr>
            <w:tcW w:type="pct" w:w="7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疑似无效逻辑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自明恒真/恒零表达式（C.AMOUNT - C.AMOUNT）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标注 suspicious，阻断 implemented_by 边生成</w:t>
            </w:r>
          </w:p>
        </w:tc>
        <w:tc>
          <w:tcPr>
            <w:tcW w:type="pct" w:w="10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conflict_ledger</w:t>
            </w:r>
          </w:p>
        </w:tc>
      </w:tr>
      <w:tr>
        <w:trPr>
          <w:cantSplit/>
        </w:trPr>
        <w:tc>
          <w:tcPr>
            <w:tcW w:type="pct" w:w="4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R-C5</w:t>
            </w:r>
          </w:p>
        </w:tc>
        <w:tc>
          <w:tcPr>
            <w:tcW w:type="pct" w:w="75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环境分脑检测</w:t>
            </w:r>
          </w:p>
        </w:tc>
        <w:tc>
          <w:tcPr>
            <w:tcW w:type="pct" w:w="15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同名资源多环境实例（CPSGRP/CPSGRP2）</w:t>
            </w:r>
          </w:p>
        </w:tc>
        <w:tc>
          <w:tcPr>
            <w:tcW w:type="pct" w:w="13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实例限定型节点 ID（group 资源名）</w:t>
            </w:r>
          </w:p>
        </w:tc>
        <w:tc>
          <w:tcPr>
            <w:tcW w:type="pct" w:w="105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kg_triples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R-C6</w:t>
            </w:r>
          </w:p>
        </w:tc>
        <w:tc>
          <w:tcPr>
            <w:tcW w:type="pct" w:w="7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测试开关标注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COM-TEST-MODE 等开关引用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引用点标注 test_mode=true，trust 降 0.3</w:t>
            </w:r>
          </w:p>
        </w:tc>
        <w:tc>
          <w:tcPr>
            <w:tcW w:type="pct" w:w="10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chunk 元数据</w:t>
            </w:r>
          </w:p>
        </w:tc>
      </w:tr>
      <w:tr>
        <w:trPr>
          <w:cantSplit/>
        </w:trPr>
        <w:tc>
          <w:tcPr>
            <w:tcW w:type="pct" w:w="4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R-N1</w:t>
            </w:r>
          </w:p>
        </w:tc>
        <w:tc>
          <w:tcPr>
            <w:tcW w:type="pct" w:w="75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失效联系人标注</w:t>
            </w:r>
          </w:p>
        </w:tc>
        <w:tc>
          <w:tcPr>
            <w:tcW w:type="pct" w:w="15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退役人员姓名/邮箱出现在配置（AH.MING, 2019 退役）</w:t>
            </w:r>
          </w:p>
        </w:tc>
        <w:tc>
          <w:tcPr>
            <w:tcW w:type="pct" w:w="13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标注 stale_contact，生成治理任务</w:t>
            </w:r>
          </w:p>
        </w:tc>
        <w:tc>
          <w:tcPr>
            <w:tcW w:type="pct" w:w="105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governance 任务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R-N2</w:t>
            </w:r>
          </w:p>
        </w:tc>
        <w:tc>
          <w:tcPr>
            <w:tcW w:type="pct" w:w="7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结构与体积规范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非白名单扩展名、大于 2MB、有效内容少于 20 字符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跳过并记入 manifest（skip_ext、skip_huge、skip_empty）</w:t>
            </w:r>
          </w:p>
        </w:tc>
        <w:tc>
          <w:tcPr>
            <w:tcW w:type="pct" w:w="10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manifest.json</w:t>
            </w:r>
          </w:p>
        </w:tc>
      </w:tr>
      <w:tr>
        <w:trPr>
          <w:cantSplit/>
        </w:trPr>
        <w:tc>
          <w:tcPr>
            <w:tcW w:type="pct" w:w="4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R-N3</w:t>
            </w:r>
          </w:p>
        </w:tc>
        <w:tc>
          <w:tcPr>
            <w:tcW w:type="pct" w:w="75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文本归一</w:t>
            </w:r>
          </w:p>
        </w:tc>
        <w:tc>
          <w:tcPr>
            <w:tcW w:type="pct" w:w="15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编码统一 UTF-8、换行归 \n、去 \x00、压缩连续空行至 1 行、版权头裁至 PROGRAM-ID</w:t>
            </w:r>
          </w:p>
        </w:tc>
        <w:tc>
          <w:tcPr>
            <w:tcW w:type="pct" w:w="13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标准化后进入 L2</w:t>
            </w:r>
          </w:p>
        </w:tc>
        <w:tc>
          <w:tcPr>
            <w:tcW w:type="pct" w:w="105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中间产物（不落盘）</w:t>
            </w:r>
          </w:p>
        </w:tc>
      </w:tr>
    </w:tbl>
    <w:p>
      <w:pPr>
        <w:pStyle w:val="Heading2"/>
        <w:keepNext/>
        <w:spacing w:after="140" w:before="280" w:line="312"/>
      </w:pPr>
      <w:bookmarkStart w:name="_Toc22" w:id="22"/>
      <w:r>
        <w:rPr>
          <w:rFonts w:ascii="Arial" w:eastAsia="SimHei"/>
          <w:b/>
          <w:bCs/>
          <w:color w:val="1A2330"/>
          <w:sz w:val="30"/>
          <w:szCs w:val="30"/>
        </w:rPr>
        <w:t xml:space="preserve">5.2　代码类素材细则</w:t>
      </w:r>
      <w:bookmarkEnd w:id="22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切块：按 DIVISION/SECTION/段名启发式切分，块长约 3500 字符，过滤短于 40 字符的块；单文件超过 100KB 强制切块（COACTUPC 178KB 之类禁止整文件一向量）。抽取：PROGRAM-ID 建程序节点，CALL/LINK/XCTL 建 calls 边，WS-TRANID VALUE 建 has_tranid 边，DATASET/ASSIGN 建 uses_dataset 边（trust 降权因误匹配风险）。RPG/JCL/REXX/MQSC/SQL 同理按各自语法锚点抽取，JCL 多步骤作业以步骤为粒度建边。</w:t>
      </w:r>
    </w:p>
    <w:p>
      <w:pPr>
        <w:pStyle w:val="Heading2"/>
        <w:keepNext/>
        <w:spacing w:after="140" w:before="280" w:line="312"/>
      </w:pPr>
      <w:bookmarkStart w:name="_Toc23" w:id="23"/>
      <w:r>
        <w:rPr>
          <w:rFonts w:ascii="Arial" w:eastAsia="SimHei"/>
          <w:b/>
          <w:bCs/>
          <w:color w:val="1A2330"/>
          <w:sz w:val="30"/>
          <w:szCs w:val="30"/>
        </w:rPr>
        <w:t xml:space="preserve">5.3　文档类素材细则</w:t>
      </w:r>
      <w:bookmarkEnd w:id="23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按 Markdown 标题（#～###）或空行分段，块长约 2000 字符；抽取文档编号、版本、状态字段与表格中的 FR-* 需求行，需求描述中反引号包裹的程序名生成 implemented_by 候选边（进治理复核）；显式标注测试桩/反推来源的段落（07_derived）保留路径并在元数据携带 trust 数值。</w:t>
      </w:r>
    </w:p>
    <w:p>
      <w:pPr>
        <w:pStyle w:val="Heading2"/>
        <w:keepNext/>
        <w:spacing w:after="140" w:before="280" w:line="312"/>
      </w:pPr>
      <w:bookmarkStart w:name="_Toc24" w:id="24"/>
      <w:r>
        <w:rPr>
          <w:rFonts w:ascii="Arial" w:eastAsia="SimHei"/>
          <w:b/>
          <w:bCs/>
          <w:color w:val="1A2330"/>
          <w:sz w:val="30"/>
          <w:szCs w:val="30"/>
        </w:rPr>
        <w:t xml:space="preserve">5.4　V2.0 新增模态细则</w:t>
      </w:r>
      <w:bookmarkEnd w:id="24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运维日志（jsonl）：按行解析为事件记录，聚合为按 source 与日的摘要 chunk（modality=log），txn 字段命中已知交易号的生成 relates_to_txn 三元组，WARN/ERROR 级事件保留原文。Mermaid 流程（mmd）：解析节点与边为流程步骤序列三元组（step_of、next_step），流程图整体作为一个 doc chunk 保留原文。耦合度评估（json）：modules 建 System/SubSystem 节点，pair_dependencies 转为带频次权重的 depends_on 边（weight=freq_30d_avg）。</w:t>
      </w:r>
    </w:p>
    <w:p>
      <w:pPr>
        <w:pStyle w:val="Heading1"/>
        <w:keepNext/>
        <w:pageBreakBefore/>
        <w:spacing w:after="200" w:before="360" w:line="312"/>
        <w:jc w:val="center"/>
      </w:pPr>
      <w:bookmarkStart w:name="_Toc25" w:id="25"/>
      <w:r>
        <w:rPr>
          <w:rFonts w:ascii="Arial" w:eastAsia="SimHei"/>
          <w:b/>
          <w:bCs/>
          <w:color w:val="1A2330"/>
          <w:sz w:val="32"/>
          <w:szCs w:val="32"/>
        </w:rPr>
        <w:t xml:space="preserve">6　冲突对齐与实体消歧</w:t>
      </w:r>
      <w:bookmarkEnd w:id="25"/>
    </w:p>
    <w:p>
      <w:pPr>
        <w:pStyle w:val="Heading2"/>
        <w:keepNext/>
        <w:spacing w:after="140" w:before="280" w:line="312"/>
      </w:pPr>
      <w:bookmarkStart w:name="_Toc26" w:id="26"/>
      <w:r>
        <w:rPr>
          <w:rFonts w:ascii="Arial" w:eastAsia="SimHei"/>
          <w:b/>
          <w:bCs/>
          <w:color w:val="1A2330"/>
          <w:sz w:val="30"/>
          <w:szCs w:val="30"/>
        </w:rPr>
        <w:t xml:space="preserve">6.1　冲突台账（conflict_ledger）</w:t>
      </w:r>
      <w:bookmarkEnd w:id="26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所有 C 组规则命中生成冲突台账记录，字段：conflict_id、规则编号、涉及对象、两侧证据（各含路径与摘录）、建议处置、状态（pending/resolved/wont_fix）、裁决人。台账对接治理工作台：AI 打标步骤自动创建校对任务，人工裁决结果回写并驱动 merge 步骤的最终取值。示例记录：</w:t>
      </w:r>
    </w:p>
    <w:p>
      <w:pPr>
        <w:keepNext/>
        <w:spacing w:after="60" w:before="140" w:line="312"/>
      </w:pPr>
      <w:r>
        <w:rPr>
          <w:rFonts w:ascii="Arial" w:eastAsia="SimHei"/>
          <w:b/>
          <w:bCs/>
          <w:color w:val="1A2330"/>
          <w:sz w:val="21"/>
          <w:szCs w:val="21"/>
        </w:rPr>
        <w:t xml:space="preserve">冲突台账记录示例（JSONL 单行）</w:t>
      </w:r>
    </w:p>
    <w:p>
      <w:pPr>
        <w:keepNext/>
        <w:keepLines/>
        <w:pBdr>
          <w:top w:val="single" w:color="DDD0C8" w:sz="4" w:space="4"/>
        </w:pBdr>
        <w:shd w:fill="F6F8FA" w:val="clear"/>
        <w:spacing w:after="0" w:before="8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{"conflict_id": "cf-0003", "rule": "R-C3",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"subject": "PYROUTE 人民币路由",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"sides": [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{"claim": "CNY 走 CNAPS", "path": "01_tech_docs/architecture/ARCH-PAY-001.md",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"excerpt": "人民币跨境经 CNAPS 大额系统清算"},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{"claim": "CNY 走 SWIFT（表内重复项 last-wins 生效）",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"path": "02_code_assets/cobol/PYROUTE.cbl", "excerpt": "88 CNY-ROUTE VALUES 'SWIFT'"}],</w:t>
      </w:r>
    </w:p>
    <w:p>
      <w:pPr>
        <w:keepNext w:val="false"/>
        <w:keepLines/>
        <w:pBdr>
          <w:bottom w:val="single" w:color="DDD0C8" w:sz="4" w:space="4"/>
        </w:pBdr>
        <w:shd w:fill="F6F8FA" w:val="clear"/>
        <w:spacing w:after="12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"suggestion": "以代码为准，文档修订并登记变更", "status": "pending"}</w:t>
      </w:r>
    </w:p>
    <w:p>
      <w:pPr>
        <w:pStyle w:val="Heading2"/>
        <w:keepNext/>
        <w:spacing w:after="140" w:before="280" w:line="312"/>
      </w:pPr>
      <w:bookmarkStart w:name="_Toc27" w:id="27"/>
      <w:r>
        <w:rPr>
          <w:rFonts w:ascii="Arial" w:eastAsia="SimHei"/>
          <w:b/>
          <w:bCs/>
          <w:color w:val="1A2330"/>
          <w:sz w:val="30"/>
          <w:szCs w:val="30"/>
        </w:rPr>
        <w:t xml:space="preserve">6.2　命名空间与实体归一</w:t>
      </w:r>
      <w:bookmarkEnd w:id="27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实体 ID 统一为 universe:name 形式：CPS:PYMAIN、CARDDEMO:COACTUPC、VAULT:WIREXFR0 等；需求编号 CPS:FR-001 与 CARD:FR-01 天然隔离。同名不同系统的语义同类实体（制裁筛查、日终）建抽象类型节点（Screening、EOD），实例各自挂接不合并。entity_normalize 仅做大小写、扩展名与少量别名归一（如 CPS.IN 归 CPS.IN.Q），禁止跨宇宙合并。</w:t>
      </w:r>
    </w:p>
    <w:p>
      <w:pPr>
        <w:pStyle w:val="Heading2"/>
        <w:keepNext/>
        <w:spacing w:after="140" w:before="280" w:line="312"/>
      </w:pPr>
      <w:bookmarkStart w:name="_Toc28" w:id="28"/>
      <w:r>
        <w:rPr>
          <w:rFonts w:ascii="Arial" w:eastAsia="SimHei"/>
          <w:b/>
          <w:bCs/>
          <w:color w:val="1A2330"/>
          <w:sz w:val="30"/>
          <w:szCs w:val="30"/>
        </w:rPr>
        <w:t xml:space="preserve">6.3　版本族模型</w:t>
      </w:r>
      <w:bookmarkEnd w:id="28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版本族 = 主版本 + 旁路版本集合：主版本（无后缀或最大版本号）入正库；旁路版本（.OLD/.BAK/_V2/日期后缀）默认隔离或降权（trust×0.5）并登记差异标记。对雷区 8（FIX_TMP 常驻生产）这类行为与设计不一致的常驻临时修复，即使无后缀也按 R-Q1 整文件隔离，其存在事实进入冲突台账供架构师裁决。</w:t>
      </w:r>
    </w:p>
    <w:p>
      <w:pPr>
        <w:pStyle w:val="Heading1"/>
        <w:keepNext/>
        <w:pageBreakBefore/>
        <w:spacing w:after="200" w:before="360" w:line="312"/>
        <w:jc w:val="center"/>
      </w:pPr>
      <w:bookmarkStart w:name="_Toc29" w:id="29"/>
      <w:r>
        <w:rPr>
          <w:rFonts w:ascii="Arial" w:eastAsia="SimHei"/>
          <w:b/>
          <w:bCs/>
          <w:color w:val="1A2330"/>
          <w:sz w:val="32"/>
          <w:szCs w:val="32"/>
        </w:rPr>
        <w:t xml:space="preserve">7　清洗管线设计</w:t>
      </w:r>
      <w:bookmarkEnd w:id="29"/>
    </w:p>
    <w:p>
      <w:pPr>
        <w:pStyle w:val="Heading2"/>
        <w:keepNext/>
        <w:spacing w:after="140" w:before="280" w:line="312"/>
      </w:pPr>
      <w:bookmarkStart w:name="_Toc30" w:id="30"/>
      <w:r>
        <w:rPr>
          <w:rFonts w:ascii="Arial" w:eastAsia="SimHei"/>
          <w:b/>
          <w:bCs/>
          <w:color w:val="1A2330"/>
          <w:sz w:val="30"/>
          <w:szCs w:val="30"/>
        </w:rPr>
        <w:t xml:space="preserve">7.1　与知识库接入管线的集成</w:t>
      </w:r>
      <w:bookmarkEnd w:id="30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清洗步骤嵌入知识库五步接入管线，成为 parse 与 tag 之间的独立阶段：parse（素材解析为结构化候选）→ clean（本设计：L1—L4 + 隔离）→ tag（AI/规则打标，冲突台账与隔离复审在此生成治理任务）→ review（人工校对兜底）→ merge（按裁决结果入图谱并生成知识版本）→ index（向量化入库）。clean 阶段输出统一走 08_cleaned 四件套，作为 merge/index 的唯一输入源，保证原始数据与知识库之间的可审计边界。</w:t>
      </w:r>
    </w:p>
    <w:p>
      <w:pPr>
        <w:pStyle w:val="Heading2"/>
        <w:keepNext/>
        <w:spacing w:after="140" w:before="280" w:line="312"/>
      </w:pPr>
      <w:bookmarkStart w:name="_Toc31" w:id="31"/>
      <w:r>
        <w:rPr>
          <w:rFonts w:ascii="Arial" w:eastAsia="SimHei"/>
          <w:b/>
          <w:bCs/>
          <w:color w:val="1A2330"/>
          <w:sz w:val="30"/>
          <w:szCs w:val="30"/>
        </w:rPr>
        <w:t xml:space="preserve">7.2　幂等与重跑</w:t>
      </w:r>
      <w:bookmarkEnd w:id="31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清洗以文件相对路径 + 内容摘要为幂等键：内容未变的文件重跑时跳过；内容变化的文件全量重算其三元组与 chunk（按 path 前缀删除旧产物再写入）。manifest 记录每次运行的输入摘要集合、各规则命中数、跳过统计，作为审计依据。</w:t>
      </w:r>
    </w:p>
    <w:p>
      <w:pPr>
        <w:pStyle w:val="Heading2"/>
        <w:keepNext/>
        <w:spacing w:after="140" w:before="280" w:line="312"/>
      </w:pPr>
      <w:bookmarkStart w:name="_Toc32" w:id="32"/>
      <w:r>
        <w:rPr>
          <w:rFonts w:ascii="Arial" w:eastAsia="SimHei"/>
          <w:b/>
          <w:bCs/>
          <w:color w:val="1A2330"/>
          <w:sz w:val="30"/>
          <w:szCs w:val="30"/>
        </w:rPr>
        <w:t xml:space="preserve">7.3　manifest 结构</w:t>
      </w:r>
      <w:bookmarkEnd w:id="32"/>
    </w:p>
    <w:p>
      <w:pPr>
        <w:keepNext/>
        <w:spacing w:after="60" w:before="140" w:line="312"/>
      </w:pPr>
      <w:r>
        <w:rPr>
          <w:rFonts w:ascii="Arial" w:eastAsia="SimHei"/>
          <w:b/>
          <w:bCs/>
          <w:color w:val="1A2330"/>
          <w:sz w:val="21"/>
          <w:szCs w:val="21"/>
        </w:rPr>
        <w:t xml:space="preserve">manifest.json 关键字段</w:t>
      </w:r>
    </w:p>
    <w:p>
      <w:pPr>
        <w:keepNext/>
        <w:keepLines/>
        <w:pBdr>
          <w:top w:val="single" w:color="DDD0C8" w:sz="4" w:space="4"/>
        </w:pBdr>
        <w:shd w:fill="F6F8FA" w:val="clear"/>
        <w:spacing w:after="0" w:before="8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{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"generated_at": "2026-10-17T07:03:18Z",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"root": "C:/Users/139568/hsbc_data",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"input_digest": {"&lt;相对路径&gt;": "sha256:..."},   // 幂等键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"stats": {"files_ok": 81, "tier_A": 33, "tier_B": 22,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         "tier_C": 26, "quarantine": 8, "skip_ext": 2,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         "skip_huge": 0, "skip_empty": 0},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"rule_hits": {"R-Q1": 6, "R-Q2": 2, "R-C3": 1, ...},   // V2.0 新增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"notes": ["FR-001(CPS) 与 FR-01(CARD) 不合并，分属不同 universe", ...]</w:t>
      </w:r>
    </w:p>
    <w:p>
      <w:pPr>
        <w:keepNext w:val="false"/>
        <w:keepLines/>
        <w:pBdr>
          <w:bottom w:val="single" w:color="DDD0C8" w:sz="4" w:space="4"/>
        </w:pBdr>
        <w:shd w:fill="F6F8FA" w:val="clear"/>
        <w:spacing w:after="12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}</w:t>
      </w:r>
    </w:p>
    <w:p>
      <w:pPr>
        <w:pStyle w:val="Heading1"/>
        <w:keepNext/>
        <w:pageBreakBefore/>
        <w:spacing w:after="200" w:before="360" w:line="312"/>
        <w:jc w:val="center"/>
      </w:pPr>
      <w:bookmarkStart w:name="_Toc33" w:id="33"/>
      <w:r>
        <w:rPr>
          <w:rFonts w:ascii="Arial" w:eastAsia="SimHei"/>
          <w:b/>
          <w:bCs/>
          <w:color w:val="1A2330"/>
          <w:sz w:val="32"/>
          <w:szCs w:val="32"/>
        </w:rPr>
        <w:t xml:space="preserve">8　产出物与知识化对接</w:t>
      </w:r>
      <w:bookmarkEnd w:id="33"/>
    </w:p>
    <w:p>
      <w:pPr>
        <w:pStyle w:val="Heading2"/>
        <w:keepNext/>
        <w:spacing w:after="140" w:before="280" w:line="312"/>
      </w:pPr>
      <w:bookmarkStart w:name="_Toc34" w:id="34"/>
      <w:r>
        <w:rPr>
          <w:rFonts w:ascii="Arial" w:eastAsia="SimHei"/>
          <w:b/>
          <w:bCs/>
          <w:color w:val="1A2330"/>
          <w:sz w:val="30"/>
          <w:szCs w:val="30"/>
        </w:rPr>
        <w:t xml:space="preserve">8.1　三元组入图谱</w:t>
      </w:r>
      <w:bookmarkEnd w:id="34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kg_triples 的谓词与知识库图谱模型映射：type→节点创建、calls→CALLS、uses_dataset→READS/WRITES（按 JCL/程序语境）、implemented_by→IMPLEMENTED_BY（仅治理复核通过后落边）、has_tranid→接口关联；V2.0 新增 next_step/step_of（流程）、depends_on+weight（耦合）、relates_to_txn（日志事件）。tier/trust/universe 随节点属性入库，检索与影响分析按 trust 加权。</w:t>
      </w:r>
    </w:p>
    <w:p>
      <w:pPr>
        <w:pStyle w:val="Heading2"/>
        <w:keepNext/>
        <w:spacing w:after="140" w:before="280" w:line="312"/>
      </w:pPr>
      <w:bookmarkStart w:name="_Toc35" w:id="35"/>
      <w:r>
        <w:rPr>
          <w:rFonts w:ascii="Arial" w:eastAsia="SimHei"/>
          <w:b/>
          <w:bCs/>
          <w:color w:val="1A2330"/>
          <w:sz w:val="30"/>
          <w:szCs w:val="30"/>
        </w:rPr>
        <w:t xml:space="preserve">8.2　chunk 入向量库</w:t>
      </w:r>
      <w:bookmarkEnd w:id="35"/>
    </w:p>
    <w:p>
      <w:pPr>
        <w:keepNext/>
        <w:spacing w:after="80" w:before="160" w:line="312"/>
        <w:jc w:val="center"/>
      </w:pPr>
      <w:r>
        <w:rPr>
          <w:rFonts w:ascii="Arial" w:eastAsia="SimHei"/>
          <w:b/>
          <w:bCs/>
          <w:color w:val="1A2330"/>
          <w:sz w:val="21"/>
          <w:szCs w:val="21"/>
        </w:rPr>
        <w:t xml:space="preserve">表 5　chunk 与向量库集合映射</w:t>
      </w:r>
    </w:p>
    <w:tbl>
      <w:tblPr>
        <w:tblW w:type="pct" w:w="5000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2"/>
          <w:insideV w:val="none" w:color="FFFFFF" w:sz="0"/>
        </w:tblBorders>
      </w:tblPr>
      <w:tblGrid>
        <w:gridCol w:w="2988"/>
        <w:gridCol w:w="3515"/>
        <w:gridCol w:w="2285"/>
      </w:tblGrid>
      <w:tr>
        <w:trPr>
          <w:cantSplit/>
          <w:tblHeader/>
        </w:trPr>
        <w:tc>
          <w:tcPr>
            <w:tcW w:type="pct" w:w="17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modality/kind</w:t>
            </w:r>
          </w:p>
        </w:tc>
        <w:tc>
          <w:tcPr>
            <w:tcW w:type="pct" w:w="20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目标集合</w:t>
            </w:r>
          </w:p>
        </w:tc>
        <w:tc>
          <w:tcPr>
            <w:tcW w:type="pct" w:w="13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检索权重（retrieve_weight）</w:t>
            </w:r>
          </w:p>
        </w:tc>
      </w:tr>
      <w:tr>
        <w:trPr>
          <w:cantSplit/>
        </w:trPr>
        <w:tc>
          <w:tcPr>
            <w:tcW w:type="pct" w:w="1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upstream_code（tier A）</w:t>
            </w:r>
          </w:p>
        </w:tc>
        <w:tc>
          <w:tcPr>
            <w:tcW w:type="pct" w:w="20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kb_code_chunk</w:t>
            </w:r>
          </w:p>
        </w:tc>
        <w:tc>
          <w:tcPr>
            <w:tcW w:type="pct" w:w="13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derived_from_code（tier B）</w:t>
            </w:r>
          </w:p>
        </w:tc>
        <w:tc>
          <w:tcPr>
            <w:tcW w:type="pct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kb_code_chunk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0.75</w:t>
            </w:r>
          </w:p>
        </w:tc>
      </w:tr>
      <w:tr>
        <w:trPr>
          <w:cantSplit/>
        </w:trPr>
        <w:tc>
          <w:tcPr>
            <w:tcW w:type="pct" w:w="1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synthetic_code/doc（tier C）</w:t>
            </w:r>
          </w:p>
        </w:tc>
        <w:tc>
          <w:tcPr>
            <w:tcW w:type="pct" w:w="20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kb_doc_chunk（独立 namespace 过滤键）</w:t>
            </w:r>
          </w:p>
        </w:tc>
        <w:tc>
          <w:tcPr>
            <w:tcW w:type="pct" w:w="13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0.5，默认不进生产问答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log 摘要（V2.0 新增）</w:t>
            </w:r>
          </w:p>
        </w:tc>
        <w:tc>
          <w:tcPr>
            <w:tcW w:type="pct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kb_doc_chunk（modality=log）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0.7</w:t>
            </w:r>
          </w:p>
        </w:tc>
      </w:tr>
      <w:tr>
        <w:trPr>
          <w:cantSplit/>
        </w:trPr>
        <w:tc>
          <w:tcPr>
            <w:tcW w:type="pct" w:w="1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mmd 流程文本（V2.0 新增）</w:t>
            </w:r>
          </w:p>
        </w:tc>
        <w:tc>
          <w:tcPr>
            <w:tcW w:type="pct" w:w="20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kb_doc_chunk</w:t>
            </w:r>
          </w:p>
        </w:tc>
        <w:tc>
          <w:tcPr>
            <w:tcW w:type="pct" w:w="13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0.7</w:t>
            </w:r>
          </w:p>
        </w:tc>
      </w:tr>
    </w:tbl>
    <w:p>
      <w:pPr>
        <w:pStyle w:val="Heading2"/>
        <w:keepNext/>
        <w:spacing w:after="140" w:before="280" w:line="312"/>
      </w:pPr>
      <w:bookmarkStart w:name="_Toc36" w:id="36"/>
      <w:r>
        <w:rPr>
          <w:rFonts w:ascii="Arial" w:eastAsia="SimHei"/>
          <w:b/>
          <w:bCs/>
          <w:color w:val="1A2330"/>
          <w:sz w:val="30"/>
          <w:szCs w:val="30"/>
        </w:rPr>
        <w:t xml:space="preserve">8.3　治理任务生成</w:t>
      </w:r>
      <w:bookmarkEnd w:id="36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三类对象自动生成治理任务：冲突台账 pending 项（裁决类）、隔离区复审项（放行/维持/降权对抗样本三类动作）、R-N1 失效联系人等维护类标注。任务进入知识库治理工作台的既有校对流程（accept/modify/reject），裁决结果回写台账与 manifest。</w:t>
      </w:r>
    </w:p>
    <w:p>
      <w:pPr>
        <w:pStyle w:val="Heading1"/>
        <w:keepNext/>
        <w:pageBreakBefore/>
        <w:spacing w:after="200" w:before="360" w:line="312"/>
        <w:jc w:val="center"/>
      </w:pPr>
      <w:bookmarkStart w:name="_Toc37" w:id="37"/>
      <w:r>
        <w:rPr>
          <w:rFonts w:ascii="Arial" w:eastAsia="SimHei"/>
          <w:b/>
          <w:bCs/>
          <w:color w:val="1A2330"/>
          <w:sz w:val="32"/>
          <w:szCs w:val="32"/>
        </w:rPr>
        <w:t xml:space="preserve">9　校验与验收</w:t>
      </w:r>
      <w:bookmarkEnd w:id="37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验收指标分产出质量与流程闭环两组，Demo 阶段目标值见表 7，抽检规则随指标一并列出。</w:t>
      </w:r>
    </w:p>
    <w:p>
      <w:pPr>
        <w:keepNext/>
        <w:spacing w:after="80" w:before="160" w:line="312"/>
        <w:jc w:val="center"/>
      </w:pPr>
      <w:r>
        <w:rPr>
          <w:rFonts w:ascii="Arial" w:eastAsia="SimHei"/>
          <w:b/>
          <w:bCs/>
          <w:color w:val="1A2330"/>
          <w:sz w:val="21"/>
          <w:szCs w:val="21"/>
        </w:rPr>
        <w:t xml:space="preserve">表 6　清洗验收指标（Demo 目标值）</w:t>
      </w:r>
    </w:p>
    <w:tbl>
      <w:tblPr>
        <w:tblW w:type="pct" w:w="5000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2"/>
          <w:insideV w:val="none" w:color="FFFFFF" w:sz="0"/>
        </w:tblBorders>
      </w:tblPr>
      <w:tblGrid>
        <w:gridCol w:w="1933"/>
        <w:gridCol w:w="2988"/>
        <w:gridCol w:w="3867"/>
      </w:tblGrid>
      <w:tr>
        <w:trPr>
          <w:cantSplit/>
          <w:tblHeader/>
        </w:trPr>
        <w:tc>
          <w:tcPr>
            <w:tcW w:type="pct" w:w="11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pct" w:w="17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pct" w:w="22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校验方法</w:t>
            </w:r>
          </w:p>
        </w:tc>
      </w:tr>
      <w:tr>
        <w:trPr>
          <w:cantSplit/>
        </w:trPr>
        <w:tc>
          <w:tcPr>
            <w:tcW w:type="pct" w:w="11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废弃版本清除率</w:t>
            </w:r>
          </w:p>
        </w:tc>
        <w:tc>
          <w:tcPr>
            <w:tcW w:type="pct" w:w="1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100%（.OLD/.BAK/V2 全部隔离或降权）</w:t>
            </w:r>
          </w:p>
        </w:tc>
        <w:tc>
          <w:tcPr>
            <w:tcW w:type="pct" w:w="22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manifest rule_hits 对照文件清单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雷区检测覆盖率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15/15（附录 A 全量映射）</w:t>
            </w:r>
          </w:p>
        </w:tc>
        <w:tc>
          <w:tcPr>
            <w:tcW w:type="pct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以 _LANDMINES 逐条注入验证集核对命中</w:t>
            </w:r>
          </w:p>
        </w:tc>
      </w:tr>
      <w:tr>
        <w:trPr>
          <w:cantSplit/>
        </w:trPr>
        <w:tc>
          <w:tcPr>
            <w:tcW w:type="pct" w:w="11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敏感内容漏放率</w:t>
            </w:r>
          </w:p>
        </w:tc>
        <w:tc>
          <w:tcPr>
            <w:tcW w:type="pct" w:w="1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0（密钥/旁路不出现在正库 chunk）</w:t>
            </w:r>
          </w:p>
        </w:tc>
        <w:tc>
          <w:tcPr>
            <w:tcW w:type="pct" w:w="22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正库产物反向正则扫描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跨宇宙误合并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pct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FR/PYMAIN/日终/筛查四组对照实体抽查</w:t>
            </w:r>
          </w:p>
        </w:tc>
      </w:tr>
      <w:tr>
        <w:trPr>
          <w:cantSplit/>
        </w:trPr>
        <w:tc>
          <w:tcPr>
            <w:tcW w:type="pct" w:w="11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chunk 有效率</w:t>
            </w:r>
          </w:p>
        </w:tc>
        <w:tc>
          <w:tcPr>
            <w:tcW w:type="pct" w:w="1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≥95%（长度达标、无版权头残留、可溯源）</w:t>
            </w:r>
          </w:p>
        </w:tc>
        <w:tc>
          <w:tcPr>
            <w:tcW w:type="pct" w:w="22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按 5% 抽样人工检查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三元组抽检准确率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≥90%（边关系与源码事实一致）</w:t>
            </w:r>
          </w:p>
        </w:tc>
        <w:tc>
          <w:tcPr>
            <w:tcW w:type="pct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按谓词分层抽样各 10 条人工核对</w:t>
            </w:r>
          </w:p>
        </w:tc>
      </w:tr>
      <w:tr>
        <w:trPr>
          <w:cantSplit/>
        </w:trPr>
        <w:tc>
          <w:tcPr>
            <w:tcW w:type="pct" w:w="11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冲突闭环率</w:t>
            </w:r>
          </w:p>
        </w:tc>
        <w:tc>
          <w:tcPr>
            <w:tcW w:type="pct" w:w="1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100% 冲突台账项有人工裁决记录</w:t>
            </w:r>
          </w:p>
        </w:tc>
        <w:tc>
          <w:tcPr>
            <w:tcW w:type="pct" w:w="22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台账状态统计 + 治理任务完成率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幂等重跑一致性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内容未变文件产物逐字节一致</w:t>
            </w:r>
          </w:p>
        </w:tc>
        <w:tc>
          <w:tcPr>
            <w:tcW w:type="pct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同输入两次运行 diff</w:t>
            </w:r>
          </w:p>
        </w:tc>
      </w:tr>
    </w:tbl>
    <w:p>
      <w:pPr>
        <w:pStyle w:val="Heading1"/>
        <w:keepNext/>
        <w:pageBreakBefore/>
        <w:spacing w:after="200" w:before="360" w:line="312"/>
        <w:jc w:val="center"/>
      </w:pPr>
      <w:bookmarkStart w:name="_Toc38" w:id="38"/>
      <w:r>
        <w:rPr>
          <w:rFonts w:ascii="Arial" w:eastAsia="SimHei"/>
          <w:b/>
          <w:bCs/>
          <w:color w:val="1A2330"/>
          <w:sz w:val="32"/>
          <w:szCs w:val="32"/>
        </w:rPr>
        <w:t xml:space="preserve">10　实施计划与风险</w:t>
      </w:r>
      <w:bookmarkEnd w:id="38"/>
    </w:p>
    <w:p>
      <w:pPr>
        <w:pStyle w:val="Heading2"/>
        <w:keepNext/>
        <w:spacing w:after="140" w:before="280" w:line="312"/>
      </w:pPr>
      <w:bookmarkStart w:name="_Toc39" w:id="39"/>
      <w:r>
        <w:rPr>
          <w:rFonts w:ascii="Arial" w:eastAsia="SimHei"/>
          <w:b/>
          <w:bCs/>
          <w:color w:val="1A2330"/>
          <w:sz w:val="30"/>
          <w:szCs w:val="30"/>
        </w:rPr>
        <w:t xml:space="preserve">10.1　实施计划</w:t>
      </w:r>
      <w:bookmarkEnd w:id="39"/>
    </w:p>
    <w:p>
      <w:pPr>
        <w:keepNext/>
        <w:spacing w:after="80" w:before="160" w:line="312"/>
        <w:jc w:val="center"/>
      </w:pPr>
      <w:r>
        <w:rPr>
          <w:rFonts w:ascii="Arial" w:eastAsia="SimHei"/>
          <w:b/>
          <w:bCs/>
          <w:color w:val="1A2330"/>
          <w:sz w:val="21"/>
          <w:szCs w:val="21"/>
        </w:rPr>
        <w:t xml:space="preserve">表 7　清洗 V2.0 实施计划</w:t>
      </w:r>
    </w:p>
    <w:tbl>
      <w:tblPr>
        <w:tblW w:type="pct" w:w="5000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2"/>
          <w:insideV w:val="none" w:color="FFFFFF" w:sz="0"/>
        </w:tblBorders>
      </w:tblPr>
      <w:tblGrid>
        <w:gridCol w:w="1055"/>
        <w:gridCol w:w="4921"/>
        <w:gridCol w:w="2812"/>
      </w:tblGrid>
      <w:tr>
        <w:trPr>
          <w:cantSplit/>
          <w:tblHeader/>
        </w:trPr>
        <w:tc>
          <w:tcPr>
            <w:tcW w:type="pct" w:w="6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pct" w:w="28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工作内容</w:t>
            </w:r>
          </w:p>
        </w:tc>
        <w:tc>
          <w:tcPr>
            <w:tcW w:type="pct" w:w="16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产出</w:t>
            </w:r>
          </w:p>
        </w:tc>
      </w:tr>
      <w:tr>
        <w:trPr>
          <w:cantSplit/>
        </w:trPr>
        <w:tc>
          <w:tcPr>
            <w:tcW w:type="pct" w:w="6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第一步</w:t>
            </w:r>
          </w:p>
        </w:tc>
        <w:tc>
          <w:tcPr>
            <w:tcW w:type="pct" w:w="28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规则库落地：15 条雷区内容级检测器 + 版本族模型 + 冲突台账结构</w:t>
            </w:r>
          </w:p>
        </w:tc>
        <w:tc>
          <w:tcPr>
            <w:tcW w:type="pct" w:w="16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clean_corpus.py V2、conflict_ledger.jsonl</w:t>
            </w:r>
          </w:p>
        </w:tc>
      </w:tr>
      <w:tr>
        <w:trPr>
          <w:cantSplit/>
        </w:trPr>
        <w:tc>
          <w:tcPr>
            <w:tcW w:type="pct" w:w="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第二步</w:t>
            </w:r>
          </w:p>
        </w:tc>
        <w:tc>
          <w:tcPr>
            <w:tcW w:type="pct" w:w="2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新模态接入：运维日志/Mermaid/耦合 JSON 三类解析器</w:t>
            </w:r>
          </w:p>
        </w:tc>
        <w:tc>
          <w:tcPr>
            <w:tcW w:type="pct" w:w="1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chunk 与三元组增量产出</w:t>
            </w:r>
          </w:p>
        </w:tc>
      </w:tr>
      <w:tr>
        <w:trPr>
          <w:cantSplit/>
        </w:trPr>
        <w:tc>
          <w:tcPr>
            <w:tcW w:type="pct" w:w="6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第三步</w:t>
            </w:r>
          </w:p>
        </w:tc>
        <w:tc>
          <w:tcPr>
            <w:tcW w:type="pct" w:w="28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管线集成：嵌入知识库 ingest 五步流程，治理任务自动生成与回写</w:t>
            </w:r>
          </w:p>
        </w:tc>
        <w:tc>
          <w:tcPr>
            <w:tcW w:type="pct" w:w="16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端到端联调通过，验收指标达标</w:t>
            </w:r>
          </w:p>
        </w:tc>
      </w:tr>
    </w:tbl>
    <w:p>
      <w:pPr>
        <w:pStyle w:val="Heading2"/>
        <w:keepNext/>
        <w:spacing w:after="140" w:before="280" w:line="312"/>
      </w:pPr>
      <w:bookmarkStart w:name="_Toc40" w:id="40"/>
      <w:r>
        <w:rPr>
          <w:rFonts w:ascii="Arial" w:eastAsia="SimHei"/>
          <w:b/>
          <w:bCs/>
          <w:color w:val="1A2330"/>
          <w:sz w:val="30"/>
          <w:szCs w:val="30"/>
        </w:rPr>
        <w:t xml:space="preserve">10.2　风险与对策</w:t>
      </w:r>
      <w:bookmarkEnd w:id="40"/>
    </w:p>
    <w:p>
      <w:pPr>
        <w:keepNext/>
        <w:spacing w:after="80" w:before="160" w:line="312"/>
        <w:jc w:val="center"/>
      </w:pPr>
      <w:r>
        <w:rPr>
          <w:rFonts w:ascii="Arial" w:eastAsia="SimHei"/>
          <w:b/>
          <w:bCs/>
          <w:color w:val="1A2330"/>
          <w:sz w:val="21"/>
          <w:szCs w:val="21"/>
        </w:rPr>
        <w:t xml:space="preserve">表 8　风险与对策</w:t>
      </w:r>
    </w:p>
    <w:tbl>
      <w:tblPr>
        <w:tblW w:type="pct" w:w="5000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2"/>
          <w:insideV w:val="none" w:color="FFFFFF" w:sz="0"/>
        </w:tblBorders>
      </w:tblPr>
      <w:tblGrid>
        <w:gridCol w:w="3515"/>
        <w:gridCol w:w="879"/>
        <w:gridCol w:w="4394"/>
      </w:tblGrid>
      <w:tr>
        <w:trPr>
          <w:cantSplit/>
          <w:tblHeader/>
        </w:trPr>
        <w:tc>
          <w:tcPr>
            <w:tcW w:type="pct" w:w="20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pct" w:w="5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pct" w:w="25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对策</w:t>
            </w:r>
          </w:p>
        </w:tc>
      </w:tr>
      <w:tr>
        <w:trPr>
          <w:cantSplit/>
        </w:trPr>
        <w:tc>
          <w:tcPr>
            <w:tcW w:type="pct" w:w="20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内容级检测误报（把正常分支判为旁路/死代码）</w:t>
            </w:r>
          </w:p>
        </w:tc>
        <w:tc>
          <w:tcPr>
            <w:tcW w:type="pct" w:w="5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pct" w:w="25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检测只隔离不删除；隔离区人工复审通道；对抗样本显式标记</w:t>
            </w:r>
          </w:p>
        </w:tc>
      </w:tr>
      <w:tr>
        <w:trPr>
          <w:cantSplit/>
        </w:trPr>
        <w:tc>
          <w:tcPr>
            <w:tcW w:type="pct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冲突台账积压未裁决，影响 merge 时效</w:t>
            </w:r>
          </w:p>
        </w:tc>
        <w:tc>
          <w:tcPr>
            <w:tcW w:type="pct" w:w="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pct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pending 项默认按代码侧生效（doc 降权），台账保持开放</w:t>
            </w:r>
          </w:p>
        </w:tc>
      </w:tr>
      <w:tr>
        <w:trPr>
          <w:cantSplit/>
        </w:trPr>
        <w:tc>
          <w:tcPr>
            <w:tcW w:type="pct" w:w="20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大文件切块丢失跨段上下文（COACTUPC 4000 行）</w:t>
            </w:r>
          </w:p>
        </w:tc>
        <w:tc>
          <w:tcPr>
            <w:tcW w:type="pct" w:w="5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pct" w:w="25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块头携带 PROGRAM-ID/DIVISION 前缀；关键段单独成块</w:t>
            </w:r>
          </w:p>
        </w:tc>
      </w:tr>
      <w:tr>
        <w:trPr>
          <w:cantSplit/>
        </w:trPr>
        <w:tc>
          <w:tcPr>
            <w:tcW w:type="pct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跨宇宙过滤键在检索侧被忽略，C 层混入生产问答</w:t>
            </w:r>
          </w:p>
        </w:tc>
        <w:tc>
          <w:tcPr>
            <w:tcW w:type="pct" w:w="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pct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检索过滤逻辑纳入验收；集合隔离 + namespace 双保险</w:t>
            </w:r>
          </w:p>
        </w:tc>
      </w:tr>
    </w:tbl>
    <w:p>
      <w:pPr>
        <w:pStyle w:val="Heading1"/>
        <w:keepNext/>
        <w:pageBreakBefore/>
        <w:spacing w:after="200" w:before="360" w:line="312"/>
        <w:jc w:val="center"/>
      </w:pPr>
      <w:bookmarkStart w:name="_Toc41" w:id="41"/>
      <w:r>
        <w:rPr>
          <w:rFonts w:ascii="Arial" w:eastAsia="SimHei"/>
          <w:b/>
          <w:bCs/>
          <w:color w:val="1A2330"/>
          <w:sz w:val="32"/>
          <w:szCs w:val="32"/>
        </w:rPr>
        <w:t xml:space="preserve">附录 A　雷区清单与清洗规则映射</w:t>
      </w:r>
      <w:bookmarkEnd w:id="41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数据集自带 15 条工程雷区（_LANDMINES.txt）与本设计规则的完整映射如下，作为雷区检测覆盖率的验收底稿。</w:t>
      </w:r>
    </w:p>
    <w:p>
      <w:pPr>
        <w:keepNext/>
        <w:spacing w:after="80" w:before="160" w:line="312"/>
        <w:jc w:val="center"/>
      </w:pPr>
      <w:r>
        <w:rPr>
          <w:rFonts w:ascii="Arial" w:eastAsia="SimHei"/>
          <w:b/>
          <w:bCs/>
          <w:color w:val="1A2330"/>
          <w:sz w:val="21"/>
          <w:szCs w:val="21"/>
        </w:rPr>
        <w:t xml:space="preserve">表 9　雷区—规则映射表（15 条全量）</w:t>
      </w:r>
    </w:p>
    <w:tbl>
      <w:tblPr>
        <w:tblW w:type="pct" w:w="5000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2"/>
          <w:insideV w:val="none" w:color="FFFFFF" w:sz="0"/>
        </w:tblBorders>
      </w:tblPr>
      <w:tblGrid>
        <w:gridCol w:w="527"/>
        <w:gridCol w:w="3691"/>
        <w:gridCol w:w="1230"/>
        <w:gridCol w:w="3339"/>
      </w:tblGrid>
      <w:tr>
        <w:trPr>
          <w:cantSplit/>
          <w:tblHeader/>
        </w:trPr>
        <w:tc>
          <w:tcPr>
            <w:tcW w:type="pct" w:w="3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21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雷区摘要</w:t>
            </w:r>
          </w:p>
        </w:tc>
        <w:tc>
          <w:tcPr>
            <w:tcW w:type="pct" w:w="7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规则</w:t>
            </w:r>
          </w:p>
        </w:tc>
        <w:tc>
          <w:tcPr>
            <w:tcW w:type="pct" w:w="19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处置</w:t>
            </w:r>
          </w:p>
        </w:tc>
      </w:tr>
      <w:tr>
        <w:trPr>
          <w:cantSplit/>
        </w:trPr>
        <w:tc>
          <w:tcPr>
            <w:tcW w:type="pct" w:w="3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21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PYMAIN VIP 名单跳过 AML（审计不得提及）</w:t>
            </w:r>
          </w:p>
        </w:tc>
        <w:tc>
          <w:tcPr>
            <w:tcW w:type="pct" w:w="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R-Q2</w:t>
            </w:r>
          </w:p>
        </w:tc>
        <w:tc>
          <w:tcPr>
            <w:tcW w:type="pct" w:w="19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隔离 + 证据链保留，禁入正规则</w:t>
            </w:r>
          </w:p>
        </w:tc>
      </w:tr>
      <w:tr>
        <w:trPr>
          <w:cantSplit/>
        </w:trPr>
        <w:tc>
          <w:tcPr>
            <w:tcW w:type="pct" w:w="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PYPOST 手续费 v1/v2/v3 按币种路由，文档未载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R-C2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双源标注入冲突台账</w:t>
            </w:r>
          </w:p>
        </w:tc>
      </w:tr>
      <w:tr>
        <w:trPr>
          <w:cantSplit/>
        </w:trPr>
        <w:tc>
          <w:tcPr>
            <w:tcW w:type="pct" w:w="3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21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PYROUTE 人民币路由重复项 last-wins 走 SWIFT</w:t>
            </w:r>
          </w:p>
        </w:tc>
        <w:tc>
          <w:tcPr>
            <w:tcW w:type="pct" w:w="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R-C3</w:t>
            </w:r>
          </w:p>
        </w:tc>
        <w:tc>
          <w:tcPr>
            <w:tcW w:type="pct" w:w="19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两值保留并标生效侧</w:t>
            </w:r>
          </w:p>
        </w:tc>
      </w:tr>
      <w:tr>
        <w:trPr>
          <w:cantSplit/>
        </w:trPr>
        <w:tc>
          <w:tcPr>
            <w:tcW w:type="pct" w:w="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PYRECON STEP015/035/099 无人敢删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R-C4/R-N1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标注 unused 待架构师裁决</w:t>
            </w:r>
          </w:p>
        </w:tc>
      </w:tr>
      <w:tr>
        <w:trPr>
          <w:cantSplit/>
        </w:trPr>
        <w:tc>
          <w:tcPr>
            <w:tcW w:type="pct" w:w="3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21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告警邮箱仍指向 2019 退役人员</w:t>
            </w:r>
          </w:p>
        </w:tc>
        <w:tc>
          <w:tcPr>
            <w:tcW w:type="pct" w:w="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R-N1</w:t>
            </w:r>
          </w:p>
        </w:tc>
        <w:tc>
          <w:tcPr>
            <w:tcW w:type="pct" w:w="19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stale_contact 标注 + 治理任务</w:t>
            </w:r>
          </w:p>
        </w:tc>
      </w:tr>
      <w:tr>
        <w:trPr>
          <w:cantSplit/>
        </w:trPr>
        <w:tc>
          <w:tcPr>
            <w:tcW w:type="pct" w:w="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冒烟脚本失败仍 exit 0（流水线常绿）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R-Q3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隔离 + adversarial 标记</w:t>
            </w:r>
          </w:p>
        </w:tc>
      </w:tr>
      <w:tr>
        <w:trPr>
          <w:cantSplit/>
        </w:trPr>
        <w:tc>
          <w:tcPr>
            <w:tcW w:type="pct" w:w="3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21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COMMON.cpy 冲突字段战区</w:t>
            </w:r>
          </w:p>
        </w:tc>
        <w:tc>
          <w:tcPr>
            <w:tcW w:type="pct" w:w="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R-Q1</w:t>
            </w:r>
          </w:p>
        </w:tc>
        <w:tc>
          <w:tcPr>
            <w:tcW w:type="pct" w:w="19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整文件隔离</w:t>
            </w:r>
          </w:p>
        </w:tc>
      </w:tr>
      <w:tr>
        <w:trPr>
          <w:cantSplit/>
        </w:trPr>
        <w:tc>
          <w:tcPr>
            <w:tcW w:type="pct" w:w="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pct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FIX_TMP 常驻生产 LOAD（2020 至今）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R-Q1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隔离 + 台账登记裁决</w:t>
            </w:r>
          </w:p>
        </w:tc>
      </w:tr>
      <w:tr>
        <w:trPr>
          <w:cantSplit/>
        </w:trPr>
        <w:tc>
          <w:tcPr>
            <w:tcW w:type="pct" w:w="3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pct" w:w="21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CPSGRP/CPSGRP2 分脑（CPSP001/002）</w:t>
            </w:r>
          </w:p>
        </w:tc>
        <w:tc>
          <w:tcPr>
            <w:tcW w:type="pct" w:w="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R-C5</w:t>
            </w:r>
          </w:p>
        </w:tc>
        <w:tc>
          <w:tcPr>
            <w:tcW w:type="pct" w:w="19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实例限定型节点，双实例保留</w:t>
            </w:r>
          </w:p>
        </w:tc>
      </w:tr>
      <w:tr>
        <w:trPr>
          <w:cantSplit/>
        </w:trPr>
        <w:tc>
          <w:tcPr>
            <w:tcW w:type="pct" w:w="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pct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PYACCT.OLD 挂在 GRP2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R-D1/R-Q1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废弃版本隔离</w:t>
            </w:r>
          </w:p>
        </w:tc>
      </w:tr>
      <w:tr>
        <w:trPr>
          <w:cantSplit/>
        </w:trPr>
        <w:tc>
          <w:tcPr>
            <w:tcW w:type="pct" w:w="3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pct" w:w="21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对账 SQL C.AMOUNT - C.AMOUNT 恒零</w:t>
            </w:r>
          </w:p>
        </w:tc>
        <w:tc>
          <w:tcPr>
            <w:tcW w:type="pct" w:w="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R-C4</w:t>
            </w:r>
          </w:p>
        </w:tc>
        <w:tc>
          <w:tcPr>
            <w:tcW w:type="pct" w:w="19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suspicious 标注，阻断 implemented_by</w:t>
            </w:r>
          </w:p>
        </w:tc>
      </w:tr>
      <w:tr>
        <w:trPr>
          <w:cantSplit/>
        </w:trPr>
        <w:tc>
          <w:tcPr>
            <w:tcW w:type="pct" w:w="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pct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DLQ REXX V1/V2 同时在 crontab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R-D2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版本族登记，运行状态待确认</w:t>
            </w:r>
          </w:p>
        </w:tc>
      </w:tr>
      <w:tr>
        <w:trPr>
          <w:cantSplit/>
        </w:trPr>
        <w:tc>
          <w:tcPr>
            <w:tcW w:type="pct" w:w="3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pct" w:w="21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部署脚本硬编码密钥</w:t>
            </w:r>
          </w:p>
        </w:tc>
        <w:tc>
          <w:tcPr>
            <w:tcW w:type="pct" w:w="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R-Q2</w:t>
            </w:r>
          </w:p>
        </w:tc>
        <w:tc>
          <w:tcPr>
            <w:tcW w:type="pct" w:w="19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隔离 + 密钥形态预览留存</w:t>
            </w:r>
          </w:p>
        </w:tc>
      </w:tr>
      <w:tr>
        <w:trPr>
          <w:cantSplit/>
        </w:trPr>
        <w:tc>
          <w:tcPr>
            <w:tcW w:type="pct" w:w="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pct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COM-TEST-MODE 发布前常忘检查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R-C6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引用点 test_mode 标注降权</w:t>
            </w:r>
          </w:p>
        </w:tc>
      </w:tr>
      <w:tr>
        <w:trPr>
          <w:cantSplit/>
        </w:trPr>
        <w:tc>
          <w:tcPr>
            <w:tcW w:type="pct" w:w="3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pct" w:w="21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7777-DEAD-CODE 死代码仍被链接</w:t>
            </w:r>
          </w:p>
        </w:tc>
        <w:tc>
          <w:tcPr>
            <w:tcW w:type="pct" w:w="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R-Q4</w:t>
            </w:r>
          </w:p>
        </w:tc>
        <w:tc>
          <w:tcPr>
            <w:tcW w:type="pct" w:w="19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段落级隔离</w:t>
            </w:r>
          </w:p>
        </w:tc>
      </w:tr>
    </w:tbl>
    <w:p>
      <w:pPr>
        <w:pStyle w:val="Heading1"/>
        <w:keepNext/>
        <w:pageBreakBefore/>
        <w:spacing w:after="200" w:before="360" w:line="312"/>
        <w:jc w:val="center"/>
      </w:pPr>
      <w:bookmarkStart w:name="_Toc42" w:id="42"/>
      <w:r>
        <w:rPr>
          <w:rFonts w:ascii="Arial" w:eastAsia="SimHei"/>
          <w:b/>
          <w:bCs/>
          <w:color w:val="1A2330"/>
          <w:sz w:val="32"/>
          <w:szCs w:val="32"/>
        </w:rPr>
        <w:t xml:space="preserve">附录 B　产出物字段定义</w:t>
      </w:r>
      <w:bookmarkEnd w:id="42"/>
    </w:p>
    <w:p>
      <w:pPr>
        <w:keepNext/>
        <w:spacing w:after="80" w:before="160" w:line="312"/>
        <w:jc w:val="center"/>
      </w:pPr>
      <w:r>
        <w:rPr>
          <w:rFonts w:ascii="Arial" w:eastAsia="SimHei"/>
          <w:b/>
          <w:bCs/>
          <w:color w:val="1A2330"/>
          <w:sz w:val="21"/>
          <w:szCs w:val="21"/>
        </w:rPr>
        <w:t xml:space="preserve">表 10　产出物关键字段</w:t>
      </w:r>
    </w:p>
    <w:tbl>
      <w:tblPr>
        <w:tblW w:type="pct" w:w="5000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2"/>
          <w:insideV w:val="none" w:color="FFFFFF" w:sz="0"/>
        </w:tblBorders>
      </w:tblPr>
      <w:tblGrid>
        <w:gridCol w:w="2285"/>
        <w:gridCol w:w="2636"/>
        <w:gridCol w:w="3867"/>
      </w:tblGrid>
      <w:tr>
        <w:trPr>
          <w:cantSplit/>
          <w:tblHeader/>
        </w:trPr>
        <w:tc>
          <w:tcPr>
            <w:tcW w:type="pct" w:w="13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pct" w:w="15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pct" w:w="22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3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kg_triples.jsonl</w:t>
            </w:r>
          </w:p>
        </w:tc>
        <w:tc>
          <w:tcPr>
            <w:tcW w:type="pct" w:w="15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s / p / o</w:t>
            </w:r>
          </w:p>
        </w:tc>
        <w:tc>
          <w:tcPr>
            <w:tcW w:type="pct" w:w="22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头实体、谓词、尾实体（实体带 universe 前缀）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source / tier / trust</w:t>
            </w:r>
          </w:p>
        </w:tc>
        <w:tc>
          <w:tcPr>
            <w:tcW w:type="pct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来源路径、可信层、可信度数值</w:t>
            </w:r>
          </w:p>
        </w:tc>
      </w:tr>
      <w:tr>
        <w:trPr>
          <w:cantSplit/>
        </w:trPr>
        <w:tc>
          <w:tcPr>
            <w:tcW w:type="pct" w:w="13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vector_chunks.jsonl</w:t>
            </w:r>
          </w:p>
        </w:tc>
        <w:tc>
          <w:tcPr>
            <w:tcW w:type="pct" w:w="15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chunk_id / text / path</w:t>
            </w:r>
          </w:p>
        </w:tc>
        <w:tc>
          <w:tcPr>
            <w:tcW w:type="pct" w:w="22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块标识、文本、来源路径（溯源键）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modality / kind / retrieve_weight</w:t>
            </w:r>
          </w:p>
        </w:tc>
        <w:tc>
          <w:tcPr>
            <w:tcW w:type="pct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模态（code/doc/log）、来源分类、检索权重</w:t>
            </w:r>
          </w:p>
        </w:tc>
      </w:tr>
      <w:tr>
        <w:trPr>
          <w:cantSplit/>
        </w:trPr>
        <w:tc>
          <w:tcPr>
            <w:tcW w:type="pct" w:w="13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quarantine.jsonl</w:t>
            </w:r>
          </w:p>
        </w:tc>
        <w:tc>
          <w:tcPr>
            <w:tcW w:type="pct" w:w="15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path / reason / preview</w:t>
            </w:r>
          </w:p>
        </w:tc>
        <w:tc>
          <w:tcPr>
            <w:tcW w:type="pct" w:w="22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隔离文件、命中规则与原因、内容预览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conflict_ledger.jsonl（V2.0 新增）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sides / suggestion / status</w:t>
            </w:r>
          </w:p>
        </w:tc>
        <w:tc>
          <w:tcPr>
            <w:tcW w:type="pct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两侧证据、建议处置、裁决状态</w:t>
            </w:r>
          </w:p>
        </w:tc>
      </w:tr>
      <w:tr>
        <w:trPr>
          <w:cantSplit/>
        </w:trPr>
        <w:tc>
          <w:tcPr>
            <w:tcW w:type="pct" w:w="13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manifest.json</w:t>
            </w:r>
          </w:p>
        </w:tc>
        <w:tc>
          <w:tcPr>
            <w:tcW w:type="pct" w:w="15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input_digest / stats / rule_hits</w:t>
            </w:r>
          </w:p>
        </w:tc>
        <w:tc>
          <w:tcPr>
            <w:tcW w:type="pct" w:w="22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幂等键、统计、各规则命中数</w:t>
            </w:r>
          </w:p>
        </w:tc>
      </w:tr>
    </w:tbl>
    <w:p>
      <w:pPr>
        <w:pStyle w:val="Heading1"/>
        <w:keepNext/>
        <w:pageBreakBefore/>
        <w:spacing w:after="200" w:before="360" w:line="312"/>
        <w:jc w:val="center"/>
      </w:pPr>
      <w:bookmarkStart w:name="_Toc43" w:id="43"/>
      <w:r>
        <w:rPr>
          <w:rFonts w:ascii="Arial" w:eastAsia="SimHei"/>
          <w:b/>
          <w:bCs/>
          <w:color w:val="1A2330"/>
          <w:sz w:val="32"/>
          <w:szCs w:val="32"/>
        </w:rPr>
        <w:t xml:space="preserve">附录 C　版本历史</w:t>
      </w:r>
      <w:bookmarkEnd w:id="43"/>
    </w:p>
    <w:p>
      <w:pPr>
        <w:keepNext/>
        <w:spacing w:after="80" w:before="160" w:line="312"/>
        <w:jc w:val="center"/>
      </w:pPr>
      <w:r>
        <w:rPr>
          <w:rFonts w:ascii="Arial" w:eastAsia="SimHei"/>
          <w:b/>
          <w:bCs/>
          <w:color w:val="1A2330"/>
          <w:sz w:val="21"/>
          <w:szCs w:val="21"/>
        </w:rPr>
        <w:t xml:space="preserve">表 11　文档版本历史</w:t>
      </w:r>
    </w:p>
    <w:tbl>
      <w:tblPr>
        <w:tblW w:type="pct" w:w="5000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2"/>
          <w:insideV w:val="none" w:color="FFFFFF" w:sz="0"/>
        </w:tblBorders>
      </w:tblPr>
      <w:tblGrid>
        <w:gridCol w:w="879"/>
        <w:gridCol w:w="1230"/>
        <w:gridCol w:w="5273"/>
        <w:gridCol w:w="1406"/>
      </w:tblGrid>
      <w:tr>
        <w:trPr>
          <w:cantSplit/>
          <w:tblHeader/>
        </w:trPr>
        <w:tc>
          <w:tcPr>
            <w:tcW w:type="pct" w:w="5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pct" w:w="7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pct" w:w="30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pct" w:w="8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编制</w:t>
            </w:r>
          </w:p>
        </w:tc>
      </w:tr>
      <w:tr>
        <w:trPr>
          <w:cantSplit/>
        </w:trPr>
        <w:tc>
          <w:tcPr>
            <w:tcW w:type="pct" w:w="5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pct" w:w="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2026-10-17</w:t>
            </w:r>
          </w:p>
        </w:tc>
        <w:tc>
          <w:tcPr>
            <w:tcW w:type="pct" w:w="30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初稿：基于 hsbc_data 实测盘点与 08_cleaned V1.0 产物，覆盖质量问题分析、L0—L4 分层清洗设计、15 条雷区规则映射与验收口径</w:t>
            </w:r>
          </w:p>
        </w:tc>
        <w:tc>
          <w:tcPr>
            <w:tcW w:type="pct" w:w="8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法本知识库项目组</w:t>
            </w:r>
          </w:p>
        </w:tc>
      </w:tr>
    </w:tbl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80808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80808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0C8" w:sz="2" w:space="4"/>
      </w:pBdr>
      <w:jc w:val="center"/>
    </w:pPr>
    <w:r>
      <w:rPr>
        <w:rFonts w:ascii="Times New Roman" w:eastAsia="SimSun"/>
        <w:color w:val="808080"/>
        <w:sz w:val="18"/>
        <w:szCs w:val="18"/>
      </w:rPr>
      <w:t xml:space="preserve">HFCPS数据集数据清洗设计文档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0C8" w:sz="2" w:space="4"/>
      </w:pBdr>
      <w:jc w:val="center"/>
    </w:pPr>
    <w:r>
      <w:rPr>
        <w:rFonts w:ascii="Times New Roman" w:eastAsia="SimSun"/>
        <w:color w:val="808080"/>
        <w:sz w:val="18"/>
        <w:szCs w:val="18"/>
      </w:rPr>
      <w:t xml:space="preserve">HFCPS数据集数据清洗设计文档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 w:line="312"/>
      <w:jc w:val="center"/>
      <w:outlineLvl w:val="0"/>
    </w:pPr>
    <w:rPr>
      <w:rFonts w:ascii="Arial" w:eastAsia="SimHei"/>
      <w:b/>
      <w:bCs/>
      <w:color w:val="1A23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 w:line="312"/>
      <w:outlineLvl w:val="1"/>
    </w:pPr>
    <w:rPr>
      <w:rFonts w:ascii="Arial" w:eastAsia="SimHei"/>
      <w:b/>
      <w:bCs/>
      <w:color w:val="1A233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20" w:line="312"/>
      <w:outlineLvl w:val="2"/>
    </w:pPr>
    <w:rPr>
      <w:rFonts w:ascii="Arial" w:eastAsia="SimHei"/>
      <w:b/>
      <w:bCs/>
      <w:color w:val="1A2330"/>
      <w:sz w:val="28"/>
      <w:szCs w:val="28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d0059ce65eda0380ff21d7b237c51391e950347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HFCPS数据集数据清洗设计文档 V1.0</dc:title>
  <dc:creator>法本知识库项目组</dc:creator>
  <cp:lastModifiedBy>Un-named</cp:lastModifiedBy>
  <cp:revision>1</cp:revision>
  <dcterms:created xsi:type="dcterms:W3CDTF">2026-10-17T09:27:24.973Z</dcterms:created>
  <dcterms:modified xsi:type="dcterms:W3CDTF">2026-10-17T09:27:24.979Z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