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7C6F83">
        <w:rPr>
          <w:rFonts w:hint="eastAsia"/>
          <w:b/>
          <w:szCs w:val="24"/>
        </w:rPr>
        <w:t>7.3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lastRenderedPageBreak/>
        <w:t xml:space="preserve"> </w:t>
      </w:r>
      <w:r w:rsidR="00DD4221"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無人機資安檢測需求詳附表]。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使用之無人機整機不得為大陸廠牌</w:t>
      </w:r>
      <w:r w:rsidRPr="0048010A">
        <w:rPr>
          <w:rFonts w:hint="eastAsia"/>
          <w:spacing w:val="0"/>
          <w:szCs w:val="28"/>
        </w:rPr>
        <w:t>(不及於零組件之廠牌)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[例如軍、警、海巡等機關或關鍵基礎設施、重要人士在場、犯罪偵監等，由機關衡酌個案特性妥適訂定。]</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無人機資安檢測需求詳附表]。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w:t>
      </w:r>
      <w:r w:rsidRPr="00E50ABA">
        <w:rPr>
          <w:rFonts w:hint="eastAsia"/>
          <w:spacing w:val="0"/>
          <w:szCs w:val="28"/>
        </w:rPr>
        <w:lastRenderedPageBreak/>
        <w:t>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無人機資安檢測需求</w:t>
      </w:r>
      <w:r w:rsidR="00A41F09" w:rsidRPr="006B5393">
        <w:rPr>
          <w:rFonts w:ascii="標楷體" w:hAnsi="標楷體" w:cs="標楷體" w:hint="eastAsia"/>
          <w:b/>
          <w:szCs w:val="28"/>
          <w:vertAlign w:val="superscript"/>
        </w:rPr>
        <w:t>(註1)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資安檢測等級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「遙控無人機資安檢測規範」第6章檢測項目合格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有下列情形之一者：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1.飛經禁航區、限航區、民航局公告之航空站或飛行場四周或地方政府代中央機關公告之紅區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政府劃設紅區</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有下列情形之一者，免予適用: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3.紅區所在機關辦理之教育訓練或競賽等低機敏性活動並報經地方政府備查。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「遙控無人機資安檢測規範」</w:t>
            </w:r>
            <w:r w:rsidRPr="006B5393">
              <w:rPr>
                <w:rFonts w:ascii="標楷體" w:hAnsi="標楷體" w:cs="標楷體" w:hint="eastAsia"/>
                <w:color w:val="FF0000"/>
                <w:spacing w:val="0"/>
                <w:sz w:val="28"/>
                <w:szCs w:val="28"/>
              </w:rPr>
              <w:t>第7章無人機群飛系統資安檢測合格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r w:rsidRPr="006B5393">
              <w:rPr>
                <w:rFonts w:ascii="標楷體" w:hAnsi="標楷體" w:cs="標楷體" w:hint="eastAsia"/>
                <w:bCs/>
                <w:spacing w:val="-4"/>
                <w:sz w:val="28"/>
                <w:szCs w:val="28"/>
              </w:rPr>
              <w:t>群飛架數2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r w:rsidRPr="006B5393">
        <w:rPr>
          <w:rFonts w:ascii="標楷體" w:hAnsi="標楷體" w:cs="標楷體" w:hint="eastAsia"/>
          <w:spacing w:val="0"/>
          <w:szCs w:val="24"/>
        </w:rPr>
        <w:t>註1</w:t>
      </w:r>
      <w:bookmarkStart w:id="4" w:name="_Hlk194682227"/>
      <w:r w:rsidRPr="006B5393">
        <w:rPr>
          <w:rFonts w:ascii="標楷體" w:hAnsi="標楷體" w:cs="標楷體" w:hint="eastAsia"/>
          <w:spacing w:val="0"/>
          <w:szCs w:val="24"/>
        </w:rPr>
        <w:t>：本表無人機資安檢測需求係針對一般機關採購取得或使用無人機之基本需求，機關得依個案特性提高檢測安全等級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r w:rsidRPr="006B5393">
        <w:rPr>
          <w:rFonts w:ascii="標楷體" w:hAnsi="標楷體" w:cs="標楷體" w:hint="eastAsia"/>
          <w:spacing w:val="0"/>
          <w:szCs w:val="24"/>
        </w:rPr>
        <w:t>註2：</w:t>
      </w:r>
      <w:bookmarkStart w:id="5" w:name="_Hlk194682257"/>
      <w:r w:rsidRPr="006B5393">
        <w:rPr>
          <w:rFonts w:ascii="標楷體" w:hAnsi="標楷體" w:cs="標楷體" w:hint="eastAsia"/>
          <w:color w:val="FF0000"/>
          <w:spacing w:val="0"/>
          <w:szCs w:val="24"/>
        </w:rPr>
        <w:t>數位發展部以114年1月8日數位韌性字第 11350028201號公告，該部113年12月26日會銜交通部公告「遙控無人機資安檢測規範」前，已向公告所列檢測專業機構或法人取得依「遙控無人機資安保障規範」2.0所發給之檢測報告者，得向該機構或法人申請換發相當檢測項目之遙控無人機資安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r w:rsidRPr="00007C46">
        <w:rPr>
          <w:rFonts w:ascii="標楷體" w:hAnsi="標楷體" w:cs="標楷體" w:hint="eastAsia"/>
          <w:spacing w:val="0"/>
          <w:szCs w:val="24"/>
        </w:rPr>
        <w:t>註3：機關應視個案實際情形於採購預算編列資安檢測費用。客製化之財物採購，第1次型式檢測費用由機關預算支應；勞務採購，機關依使用架數、使用頻率等因素評估所需檢測費用。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r w:rsidRPr="00690000">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r w:rsidR="00A41F09" w:rsidRPr="00007C46">
        <w:rPr>
          <w:bCs/>
          <w:color w:val="FF0000"/>
          <w:szCs w:val="28"/>
        </w:rPr>
        <w:t>至</w:t>
      </w:r>
      <w:r w:rsidR="00A41F09" w:rsidRPr="00007C46">
        <w:rPr>
          <w:rFonts w:hint="eastAsia"/>
          <w:bCs/>
          <w:color w:val="FF0000"/>
          <w:szCs w:val="28"/>
        </w:rPr>
        <w:t>於押標金有效期，依第35點辦理。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hyperlink r:id="rId8" w:history="1">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hyperlink>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銀行開發或保兌之不可撤銷擔保信用狀、銀行之書面連帶保證或保險公司之保證保險單繳納押標金</w:t>
      </w:r>
      <w:r w:rsidRPr="003C7083">
        <w:rPr>
          <w:rFonts w:ascii="標楷體" w:hAnsi="標楷體" w:hint="eastAsia"/>
          <w:color w:val="FF0000"/>
          <w:szCs w:val="28"/>
          <w:highlight w:val="yellow"/>
        </w:rPr>
        <w:t>，其開立押標金之有效期限至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上開有效期，機關洽廠商延長投標文件有效期者，其押標金之有效期應隨辦理延長。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hyperlink r:id="rId9" w:history="1">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hyperlink>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D25489">
        <w:rPr>
          <w:rFonts w:hint="eastAsia"/>
          <w:color w:val="FF0000"/>
          <w:spacing w:val="0"/>
          <w:u w:val="single"/>
        </w:rPr>
        <w:t xml:space="preserve">  </w:t>
      </w:r>
      <w:r w:rsidRPr="00A10EF5">
        <w:rPr>
          <w:rFonts w:hint="eastAsia"/>
          <w:spacing w:val="0"/>
        </w:rPr>
        <w:t>%（由機關於招標時自行填列；未填列者，為25%），於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本採購保留未來向得標廠商增購之權利，擬增購之項目及內容(請載明擴充之金額、數量或期間上限，並應將預估選購或擴充項目所需金額計入採購金額。未保留增購權利者免填)：</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後續擴充金額為本契約價金50%，依原契約條件及價金續約核算付款，擴充期間至%%年度%%年11月30日止，以先屆滿者為準，得以換文方式辦理。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或毗鄰縣市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或列印「全國商工行政服務入口網」（網址：http：//gcis.nat.gov.tw/index.jsp)商工登記資料之公司登記資料查詢網站之「公司基本資料」均屬之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或列印「全國商工行政服務入口網」（網址：http：//gcis.nat.gov.tw/index.jsp)商工登記資料之商業登記資料查詢網站之「商業登記基本資料」均屬之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10"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7C6F83" w:rsidRPr="00007C46" w:rsidRDefault="007C6F83" w:rsidP="007C6F83">
      <w:pPr>
        <w:pStyle w:val="7"/>
        <w:ind w:left="1134" w:firstLine="4"/>
        <w:jc w:val="both"/>
      </w:pPr>
      <w:r w:rsidRPr="00570A4A">
        <w:rPr>
          <w:rFonts w:hint="eastAsia"/>
          <w:bCs/>
          <w:szCs w:val="28"/>
        </w:rPr>
        <w:t>除前項所列者外，屬營造業法第3條第1款之營繕工程，且得標廠商為營造業者，其主要部分尚包括：工地主任、工地負責人、專任工程人員、安全衛生人員均應為</w:t>
      </w:r>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但得標之營造業廠商符合營造業法規定採委託建築師或技師逐案按各類科技師之執業範圍核實執行綜理施工管理，並簽章負責專任工程人員應辦理之工作者，則前開專任工程人員非屬主要部分。</w:t>
      </w:r>
    </w:p>
    <w:p w:rsidR="005219C6" w:rsidRPr="007C6F83"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D342D5" w:rsidRPr="00D342D5"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r w:rsidRPr="00597EF6">
        <w:rPr>
          <w:spacing w:val="0"/>
        </w:rPr>
        <w:t>該標案之領標電子憑據書面明細，</w:t>
      </w:r>
      <w:r w:rsidRPr="00597EF6">
        <w:rPr>
          <w:rFonts w:hint="eastAsia"/>
          <w:spacing w:val="0"/>
        </w:rPr>
        <w:t>未檢附者，依採購法第50條第1項規定，不予決標</w:t>
      </w:r>
      <w:r w:rsidRPr="00597EF6">
        <w:rPr>
          <w:spacing w:val="0"/>
        </w:rPr>
        <w:t>。</w:t>
      </w:r>
    </w:p>
    <w:p w:rsidR="00A41F09" w:rsidRPr="00A41F09" w:rsidRDefault="00A41F09" w:rsidP="00D342D5">
      <w:pPr>
        <w:pStyle w:val="7"/>
        <w:ind w:left="1134" w:firstLine="0"/>
        <w:jc w:val="both"/>
      </w:pPr>
      <w:r w:rsidRPr="00A41F09">
        <w:rPr>
          <w:rFonts w:hint="eastAsia"/>
        </w:rPr>
        <w:t>招標文件未經重大改變者，廠商■得□不得檢附流（廢）標前已領標之</w:t>
      </w:r>
      <w:r w:rsidRPr="00A41F09">
        <w:t>領標電子憑據</w:t>
      </w:r>
      <w:r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lastRenderedPageBreak/>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D342D5">
        <w:rPr>
          <w:rFonts w:hint="eastAsia"/>
          <w:color w:val="FF0000"/>
        </w:rPr>
        <w:t>投標廠商</w:t>
      </w:r>
      <w:r w:rsidR="001848FD" w:rsidRPr="001848FD">
        <w:rPr>
          <w:rFonts w:hint="eastAsia"/>
          <w:color w:val="FF0000"/>
        </w:rPr>
        <w:t>負責人</w:t>
      </w:r>
      <w:r w:rsidR="00D342D5">
        <w:rPr>
          <w:rFonts w:hint="eastAsia"/>
          <w:color w:val="FF0000"/>
        </w:rPr>
        <w:t>需簽名或蓋章</w:t>
      </w:r>
      <w:r w:rsidR="001848FD" w:rsidRPr="001848FD">
        <w:rPr>
          <w:rFonts w:hint="eastAsia"/>
          <w:color w:val="FF0000"/>
        </w:rPr>
        <w:t>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lastRenderedPageBreak/>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853765">
        <w:rPr>
          <w:rFonts w:hint="eastAsia"/>
          <w:szCs w:val="28"/>
        </w:rPr>
        <w:t>lyc@</w:t>
      </w:r>
      <w:bookmarkStart w:id="9" w:name="_GoBack"/>
      <w:bookmarkEnd w:id="9"/>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11"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2"/>
      <w:footerReference w:type="default" r:id="rId13"/>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E6AD3" w:rsidRDefault="00BE6AD3">
      <w:r>
        <w:separator/>
      </w:r>
    </w:p>
  </w:endnote>
  <w:endnote w:type="continuationSeparator" w:id="0">
    <w:p w:rsidR="00BE6AD3" w:rsidRDefault="00BE6A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853765">
      <w:rPr>
        <w:rStyle w:val="a6"/>
        <w:rFonts w:ascii="全真楷書"/>
        <w:noProof/>
      </w:rPr>
      <w:t>23</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E6AD3" w:rsidRDefault="00BE6AD3">
      <w:r>
        <w:separator/>
      </w:r>
    </w:p>
  </w:footnote>
  <w:footnote w:type="continuationSeparator" w:id="0">
    <w:p w:rsidR="00BE6AD3" w:rsidRDefault="00BE6AD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178A6"/>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07778"/>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34EC5"/>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83"/>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3765"/>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D761F"/>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AD3"/>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2221"/>
    <w:rsid w:val="00CD5133"/>
    <w:rsid w:val="00CE704A"/>
    <w:rsid w:val="00CF18F5"/>
    <w:rsid w:val="00D01EA7"/>
    <w:rsid w:val="00D0644C"/>
    <w:rsid w:val="00D074BA"/>
    <w:rsid w:val="00D12346"/>
    <w:rsid w:val="00D17364"/>
    <w:rsid w:val="00D21B09"/>
    <w:rsid w:val="00D22E68"/>
    <w:rsid w:val="00D25489"/>
    <w:rsid w:val="00D30C1C"/>
    <w:rsid w:val="00D342D5"/>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24120;&#29992;&#26597;&#35426;/&#20778;&#33391;&#24288;&#21830;&#21517;&#21934;/"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echief-p@mail.moj.gov.tw"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eb.pcc.gov.tw&#65289;/&#30456;&#38364;&#36899;&#32080;/" TargetMode="External"/><Relationship Id="rId4" Type="http://schemas.openxmlformats.org/officeDocument/2006/relationships/settings" Target="settings.xml"/><Relationship Id="rId9" Type="http://schemas.openxmlformats.org/officeDocument/2006/relationships/hyperlink" Target="https://web.pcc.gov.tw/&#26597;&#35426;&#26381;&#21209;/&#24288;&#21830;&#30456;&#38364;/&#20778;&#33391;&#24288;&#21830;&#21517;&#21934;/"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48EA8-16D9-4358-98C8-CB5232BD1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2891</Words>
  <Characters>16484</Characters>
  <Application>Microsoft Office Word</Application>
  <DocSecurity>0</DocSecurity>
  <Lines>137</Lines>
  <Paragraphs>38</Paragraphs>
  <ScaleCrop>false</ScaleCrop>
  <Company>PCC</Company>
  <LinksUpToDate>false</LinksUpToDate>
  <CharactersWithSpaces>19337</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10</cp:revision>
  <cp:lastPrinted>2023-03-17T02:18:00Z</cp:lastPrinted>
  <dcterms:created xsi:type="dcterms:W3CDTF">2025-07-09T03:20:00Z</dcterms:created>
  <dcterms:modified xsi:type="dcterms:W3CDTF">2025-11-27T03:05:00Z</dcterms:modified>
  <cp:category>I30</cp:category>
</cp:coreProperties>
</file>