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506D8">
      <w:pPr>
        <w:pStyle w:val="30"/>
        <w:keepNext w:val="0"/>
        <w:keepLines w:val="0"/>
        <w:widowControl/>
        <w:suppressLineNumbers w:val="0"/>
        <w:jc w:val="center"/>
        <w:rPr>
          <w:rStyle w:val="134"/>
          <w:sz w:val="40"/>
          <w:szCs w:val="36"/>
        </w:rPr>
      </w:pPr>
      <w:r>
        <w:rPr>
          <w:rStyle w:val="134"/>
          <w:sz w:val="40"/>
          <w:szCs w:val="36"/>
        </w:rPr>
        <w:t>中国城市家庭对能源政策组合的行为响应：一项多智能体模拟研究</w:t>
      </w:r>
    </w:p>
    <w:p w14:paraId="097C314F">
      <w:pPr>
        <w:pStyle w:val="30"/>
        <w:keepNext w:val="0"/>
        <w:keepLines w:val="0"/>
        <w:widowControl/>
        <w:suppressLineNumbers w:val="0"/>
        <w:jc w:val="center"/>
        <w:rPr>
          <w:rStyle w:val="134"/>
          <w:rFonts w:hint="default" w:eastAsia="宋体"/>
          <w:sz w:val="22"/>
          <w:szCs w:val="21"/>
          <w:lang w:val="en-US" w:eastAsia="zh-CN"/>
        </w:rPr>
      </w:pPr>
      <w:r>
        <w:rPr>
          <w:rStyle w:val="134"/>
          <w:rFonts w:hint="eastAsia"/>
          <w:sz w:val="22"/>
          <w:szCs w:val="21"/>
          <w:lang w:val="en-US" w:eastAsia="zh-CN"/>
        </w:rPr>
        <w:t>许翔宇 杨光</w:t>
      </w:r>
      <w:bookmarkStart w:id="0" w:name="_GoBack"/>
      <w:bookmarkEnd w:id="0"/>
    </w:p>
    <w:p w14:paraId="1F36A623">
      <w:pPr>
        <w:pStyle w:val="3"/>
      </w:pPr>
      <w:r>
        <w:t>1. 研究目标和价值</w:t>
      </w:r>
    </w:p>
    <w:p w14:paraId="22264276">
      <w:r>
        <w:t>本研究是一项方法论更新。目标是把宏观层面的 policy mix 理论转化为微观家庭能够感知并响应的政策情境，再用 ABM 模拟不同家庭的长期选择及其群体结果。</w:t>
      </w:r>
    </w:p>
    <w:p w14:paraId="46DDF4BD">
      <w:r>
        <w:t>现有 policy mix 研究能够分析价格、补贴、信息、规制和保障措施之间的互动，却很少说明这些工具进入家庭以后如何产生差异化响应。现有居民 ABM 能够模拟节能意愿和行为，却通常把政策简化为若干强度变量，缺少 policy mix 理论中的工具组合、互动、时序和实施约束。</w:t>
      </w:r>
    </w:p>
    <w:p w14:paraId="563A6D7D">
      <w:r>
        <w:t>Yue 等（2020）已经将问卷、神经网络和 ABM 连接起来，为本研究提供了直接基础。但该研究有两处可以继续推进。第一，心理特征如何生成初始意愿、个体问卷如何映射到 Agent，以及神经网络的样本外有效性都没有充分说明。第二，政策模拟主要采用“单个变量取最大值”或“所有有利变量同时取最大值”，没有依据 policy mix 理论设计工具互动、实施顺序、预算和公平约束。这种“最优政策”是参数上界，不是真实政策组合。</w:t>
      </w:r>
    </w:p>
    <w:p w14:paraId="067B16F9">
      <w:r>
        <w:t>本研究在两个部分做出贡献：</w:t>
      </w:r>
    </w:p>
    <w:p w14:paraId="779392E8">
      <w:pPr>
        <w:pStyle w:val="14"/>
        <w:ind w:firstLine="0"/>
      </w:pPr>
      <w:r>
        <w:rPr>
          <w:b/>
        </w:rPr>
        <w:t>政策组合设计</w:t>
      </w:r>
      <w:r>
        <w:t>：依据 policy mix 理论，把价格、补贴、信息、规制和公平保护设计为具有现实单位、交互关系和实施顺序的政策情境；</w:t>
      </w:r>
    </w:p>
    <w:p w14:paraId="3046E9E1">
      <w:pPr>
        <w:pStyle w:val="14"/>
        <w:ind w:firstLine="0"/>
      </w:pPr>
      <w:r>
        <w:rPr>
          <w:b/>
        </w:rPr>
        <w:t>居民模型设计</w:t>
      </w:r>
      <w:r>
        <w:t>：用问卷直接识别家庭在政策情境中的选择，用 LLM 在结构约束和经验参数范围内处理政策语义、多目标权衡、记忆和社会互动。</w:t>
      </w:r>
    </w:p>
    <w:p w14:paraId="65540653">
      <w:r>
        <w:t>宏观政策效果最终取决于家庭是否能够响应、愿意怎样响应以及由谁承担成本</w:t>
      </w:r>
      <w:r>
        <w:rPr>
          <w:rFonts w:hint="eastAsia"/>
          <w:lang w:eastAsia="zh-CN"/>
        </w:rPr>
        <w:t>，</w:t>
      </w:r>
      <w:r>
        <w:t>缺少微观行为基础，政策组合模型只能比较假定规则下的结果；缺少 policy mix 理论，居民模型只能比较若干孤立政策变量。本研究把这两个缺口放入同一个可验证框架。</w:t>
      </w:r>
    </w:p>
    <w:p w14:paraId="085AB319">
      <w:pPr>
        <w:shd w:val="clear" w:fill="F3F6F8"/>
        <w:spacing w:before="80" w:after="160"/>
        <w:ind w:left="454" w:right="454" w:firstLine="0"/>
      </w:pPr>
      <w:r>
        <w:rPr>
          <w:rFonts w:ascii="Consolas" w:hAnsi="Consolas" w:eastAsia="等线"/>
          <w:sz w:val="19"/>
        </w:rPr>
        <w:t>公共数据：人口、住房、设备、基线用电</w:t>
      </w:r>
      <w:r>
        <w:rPr>
          <w:rFonts w:ascii="Consolas" w:hAnsi="Consolas" w:eastAsia="等线"/>
          <w:sz w:val="19"/>
        </w:rPr>
        <w:br w:type="textWrapping"/>
      </w:r>
      <w:r>
        <w:rPr>
          <w:rFonts w:ascii="Consolas" w:hAnsi="Consolas" w:eastAsia="等线"/>
          <w:sz w:val="19"/>
        </w:rPr>
        <w:t>问卷数据：政策选择、行为阈值、心理差异、社会影响</w:t>
      </w:r>
      <w:r>
        <w:rPr>
          <w:rFonts w:ascii="Consolas" w:hAnsi="Consolas" w:eastAsia="等线"/>
          <w:sz w:val="19"/>
        </w:rPr>
        <w:br w:type="textWrapping"/>
      </w:r>
      <w:r>
        <w:rPr>
          <w:rFonts w:ascii="Consolas" w:hAnsi="Consolas" w:eastAsia="等线"/>
          <w:sz w:val="19"/>
        </w:rPr>
        <w:t xml:space="preserve">                           ↓</w:t>
      </w:r>
      <w:r>
        <w:rPr>
          <w:rFonts w:ascii="Consolas" w:hAnsi="Consolas" w:eastAsia="等线"/>
          <w:sz w:val="19"/>
        </w:rPr>
        <w:br w:type="textWrapping"/>
      </w:r>
      <w:r>
        <w:rPr>
          <w:rFonts w:ascii="Consolas" w:hAnsi="Consolas" w:eastAsia="等线"/>
          <w:sz w:val="19"/>
        </w:rPr>
        <w:t>结构约束 + 经验选择模型 + LLM 决策模块</w:t>
      </w:r>
      <w:r>
        <w:rPr>
          <w:rFonts w:ascii="Consolas" w:hAnsi="Consolas" w:eastAsia="等线"/>
          <w:sz w:val="19"/>
        </w:rPr>
        <w:br w:type="textWrapping"/>
      </w:r>
      <w:r>
        <w:rPr>
          <w:rFonts w:ascii="Consolas" w:hAnsi="Consolas" w:eastAsia="等线"/>
          <w:sz w:val="19"/>
        </w:rPr>
        <w:t xml:space="preserve">                           ↓</w:t>
      </w:r>
      <w:r>
        <w:rPr>
          <w:rFonts w:ascii="Consolas" w:hAnsi="Consolas" w:eastAsia="等线"/>
          <w:sz w:val="19"/>
        </w:rPr>
        <w:br w:type="textWrapping"/>
      </w:r>
      <w:r>
        <w:rPr>
          <w:rFonts w:ascii="Consolas" w:hAnsi="Consolas" w:eastAsia="等线"/>
          <w:sz w:val="19"/>
        </w:rPr>
        <w:t>居民 ABM：重复决策、网络互动、设备更新和政策组合模拟</w:t>
      </w:r>
    </w:p>
    <w:p w14:paraId="0D8A8576">
      <w:pPr>
        <w:pStyle w:val="3"/>
      </w:pPr>
      <w:r>
        <w:t>2. 为什么需要问卷</w:t>
      </w:r>
    </w:p>
    <w:p w14:paraId="54CECA0C">
      <w:pPr>
        <w:pStyle w:val="5"/>
      </w:pPr>
      <w:r>
        <w:t>2.1 公共数据只能建立家庭结构</w:t>
      </w:r>
    </w:p>
    <w:p w14:paraId="46905232">
      <w:r>
        <w:t>人口统计、CRECS、用电记录和设备数据可以提供收入、家庭人口、住房面积、设备保有量和基线用电。这些变量适合初始化 Agent，也可以校准总体用电和设备结构。</w:t>
      </w:r>
    </w:p>
    <w:p w14:paraId="048CEEA2">
      <w:r>
        <w:t>但公共数据通常不能识别以下参数：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69C01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7EF7BBEE">
            <w:r>
              <w:rPr>
                <w:b/>
                <w:sz w:val="18"/>
              </w:rPr>
              <w:t>参数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13E5D087">
            <w:r>
              <w:rPr>
                <w:b/>
                <w:sz w:val="18"/>
              </w:rPr>
              <w:t>对 ABM 的作用</w:t>
            </w:r>
          </w:p>
        </w:tc>
      </w:tr>
      <w:tr w14:paraId="20C94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09714672">
            <w:pPr>
              <w:spacing w:after="0"/>
            </w:pPr>
            <w:r>
              <w:rPr>
                <w:sz w:val="18"/>
              </w:rPr>
              <w:t>补贴与惩罚敏感度</w:t>
            </w:r>
          </w:p>
        </w:tc>
        <w:tc>
          <w:tcPr>
            <w:tcW w:w="4702" w:type="dxa"/>
            <w:vAlign w:val="center"/>
          </w:tcPr>
          <w:p w14:paraId="49C4D3DC">
            <w:pPr>
              <w:spacing w:after="0"/>
            </w:pPr>
            <w:r>
              <w:rPr>
                <w:sz w:val="18"/>
              </w:rPr>
              <w:t>决定不同政策工具引起的行为变化</w:t>
            </w:r>
          </w:p>
        </w:tc>
      </w:tr>
      <w:tr w14:paraId="288B9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199597A1">
            <w:pPr>
              <w:spacing w:after="0"/>
            </w:pPr>
            <w:r>
              <w:rPr>
                <w:sz w:val="18"/>
              </w:rPr>
              <w:t>可接受回本期</w:t>
            </w:r>
          </w:p>
        </w:tc>
        <w:tc>
          <w:tcPr>
            <w:tcW w:w="4702" w:type="dxa"/>
            <w:vAlign w:val="center"/>
          </w:tcPr>
          <w:p w14:paraId="57806DAA">
            <w:pPr>
              <w:spacing w:after="0"/>
            </w:pPr>
            <w:r>
              <w:rPr>
                <w:sz w:val="18"/>
              </w:rPr>
              <w:t>决定家庭何时投资高能效设备</w:t>
            </w:r>
          </w:p>
        </w:tc>
      </w:tr>
      <w:tr w14:paraId="685A5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093A4F3B">
            <w:pPr>
              <w:spacing w:after="0"/>
            </w:pPr>
            <w:r>
              <w:rPr>
                <w:sz w:val="18"/>
              </w:rPr>
              <w:t>额外支付意愿 WTP</w:t>
            </w:r>
          </w:p>
        </w:tc>
        <w:tc>
          <w:tcPr>
            <w:tcW w:w="4702" w:type="dxa"/>
            <w:vAlign w:val="center"/>
          </w:tcPr>
          <w:p w14:paraId="3BD16B31">
            <w:pPr>
              <w:spacing w:after="0"/>
            </w:pPr>
            <w:r>
              <w:rPr>
                <w:sz w:val="18"/>
              </w:rPr>
              <w:t>决定政策补贴与私人投入的关系</w:t>
            </w:r>
          </w:p>
        </w:tc>
      </w:tr>
      <w:tr w14:paraId="07B46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02" w:type="dxa"/>
            <w:vAlign w:val="center"/>
          </w:tcPr>
          <w:p w14:paraId="462ED89B">
            <w:pPr>
              <w:spacing w:after="0"/>
            </w:pPr>
            <w:r>
              <w:rPr>
                <w:sz w:val="18"/>
              </w:rPr>
              <w:t>舒适度底线</w:t>
            </w:r>
          </w:p>
        </w:tc>
        <w:tc>
          <w:tcPr>
            <w:tcW w:w="4702" w:type="dxa"/>
            <w:vAlign w:val="center"/>
          </w:tcPr>
          <w:p w14:paraId="62B18708">
            <w:pPr>
              <w:spacing w:after="0"/>
            </w:pPr>
            <w:r>
              <w:rPr>
                <w:sz w:val="18"/>
              </w:rPr>
              <w:t>决定高温下家庭能够减少多少用电</w:t>
            </w:r>
          </w:p>
        </w:tc>
      </w:tr>
      <w:tr w14:paraId="275CB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37F5C876">
            <w:pPr>
              <w:spacing w:after="0"/>
            </w:pPr>
            <w:r>
              <w:rPr>
                <w:sz w:val="18"/>
              </w:rPr>
              <w:t>政策信任</w:t>
            </w:r>
          </w:p>
        </w:tc>
        <w:tc>
          <w:tcPr>
            <w:tcW w:w="4702" w:type="dxa"/>
            <w:vAlign w:val="center"/>
          </w:tcPr>
          <w:p w14:paraId="6612D27D">
            <w:pPr>
              <w:spacing w:after="0"/>
            </w:pPr>
            <w:r>
              <w:rPr>
                <w:sz w:val="18"/>
              </w:rPr>
              <w:t>决定家庭是否相信补贴、节能收益和政策承诺</w:t>
            </w:r>
          </w:p>
        </w:tc>
      </w:tr>
      <w:tr w14:paraId="45986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73281D21">
            <w:pPr>
              <w:spacing w:after="0"/>
            </w:pPr>
            <w:r>
              <w:rPr>
                <w:sz w:val="18"/>
              </w:rPr>
              <w:t>社会影响敏感度</w:t>
            </w:r>
          </w:p>
        </w:tc>
        <w:tc>
          <w:tcPr>
            <w:tcW w:w="4702" w:type="dxa"/>
            <w:vAlign w:val="center"/>
          </w:tcPr>
          <w:p w14:paraId="2E72A5B7">
            <w:pPr>
              <w:spacing w:after="0"/>
            </w:pPr>
            <w:r>
              <w:rPr>
                <w:sz w:val="18"/>
              </w:rPr>
              <w:t>决定邻里采用能否引发扩散</w:t>
            </w:r>
          </w:p>
        </w:tc>
      </w:tr>
      <w:tr w14:paraId="70149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513A4550">
            <w:pPr>
              <w:spacing w:after="0"/>
            </w:pPr>
            <w:r>
              <w:rPr>
                <w:sz w:val="18"/>
              </w:rPr>
              <w:t>补贴与惩罚的不对称反应</w:t>
            </w:r>
          </w:p>
        </w:tc>
        <w:tc>
          <w:tcPr>
            <w:tcW w:w="4702" w:type="dxa"/>
            <w:vAlign w:val="center"/>
          </w:tcPr>
          <w:p w14:paraId="45686BF4">
            <w:pPr>
              <w:spacing w:after="0"/>
            </w:pPr>
            <w:r>
              <w:rPr>
                <w:sz w:val="18"/>
              </w:rPr>
              <w:t>决定相同金额的奖励和损失是否产生不同效果</w:t>
            </w:r>
          </w:p>
        </w:tc>
      </w:tr>
    </w:tbl>
    <w:p w14:paraId="5511A87B">
      <w:pPr>
        <w:spacing w:after="0"/>
      </w:pPr>
    </w:p>
    <w:p w14:paraId="435C8D1C">
      <w:r>
        <w:t>如果这些参数全部由文献均值或研究者假设，居民异质性只是表面上的人口差异，行为机制仍然是统一规则。问卷的主要作用是识别这些无法直接从公共数据得到的条件响应。</w:t>
      </w:r>
    </w:p>
    <w:p w14:paraId="26376D49">
      <w:pPr>
        <w:pStyle w:val="5"/>
      </w:pPr>
      <w:r>
        <w:t>2.2 问卷应直接测量政策情境下的选择</w:t>
      </w:r>
    </w:p>
    <w:p w14:paraId="7176CAE1">
      <w:r>
        <w:t>Yue 等（2020）先用11个心理输入生成初始节能意愿，再用意愿、主观规范和政策环境预测四类节能行为：</w:t>
      </w:r>
    </w:p>
    <w:p w14:paraId="54005E04">
      <w:pPr>
        <w:shd w:val="clear" w:fill="F3F6F8"/>
        <w:spacing w:before="80" w:after="160"/>
        <w:ind w:left="454" w:right="454" w:firstLine="0"/>
      </w:pPr>
      <w:r>
        <w:rPr>
          <w:rFonts w:ascii="Consolas" w:hAnsi="Consolas" w:eastAsia="等线"/>
          <w:sz w:val="19"/>
        </w:rPr>
        <w:t>心理特征 → 节能意愿 → 政策条件下的行为</w:t>
      </w:r>
    </w:p>
    <w:p w14:paraId="11556A22">
      <w:r>
        <w:t>这条路线证明了问卷可以驱动 ABM，但存在两个模型问题。论文没有完整报告11个心理变量到初始意愿的映射；两阶段预测还会累积误差。一般节能意愿较强，并不等于家庭愿意在高价格、长回本期或住房受限的条件下购买设备。</w:t>
      </w:r>
    </w:p>
    <w:p w14:paraId="75027CE9">
      <w:r>
        <w:t>它的政策设计也较弱。政策变量由问卷量表表示，单项政策模式把一个变量调到最有利值，所谓最优模式则把全部有利变量设为最高值。该设计不能识别补贴与电价是否互补、信息是否提高补贴效果、低收入保护是否缓解价格政策的负担，也没有比较先补贴后提价与先提价后补贴的差异。本研究将政策组合本身作为实验对象，而不只把政策当作模型外部输入。</w:t>
      </w:r>
    </w:p>
    <w:p w14:paraId="3315F0EE">
      <w:r>
        <w:t>本研究直接向受访者提供政策情境。例如：</w:t>
      </w:r>
    </w:p>
    <w:p w14:paraId="5A0E5DD4">
      <w:pPr>
        <w:spacing w:before="120" w:after="160"/>
        <w:ind w:left="567" w:right="567" w:firstLine="0"/>
      </w:pPr>
      <w:r>
        <w:rPr>
          <w:i/>
          <w:color w:val="375623"/>
        </w:rPr>
        <w:t>某高能效空调价格为4000元，政府补贴800元，预计每年节省电费500元。当前经历连续30天高温，社区已有40%的家庭采用同类设备。您选择购买设备、减少用电，还是维持当前用电方式？</w:t>
      </w:r>
    </w:p>
    <w:p w14:paraId="504B46B0">
      <w:r>
        <w:t>问卷系统改变以下属性：</w:t>
      </w:r>
    </w:p>
    <w:p w14:paraId="587C99A8">
      <w:pPr>
        <w:pStyle w:val="16"/>
        <w:ind w:firstLine="0"/>
      </w:pPr>
      <w:r>
        <w:t>设备价格和补贴比例；</w:t>
      </w:r>
    </w:p>
    <w:p w14:paraId="4523215A">
      <w:pPr>
        <w:pStyle w:val="16"/>
        <w:ind w:firstLine="0"/>
      </w:pPr>
      <w:r>
        <w:t>电价或惩罚强度；</w:t>
      </w:r>
    </w:p>
    <w:p w14:paraId="42C765A7">
      <w:pPr>
        <w:pStyle w:val="16"/>
        <w:ind w:firstLine="0"/>
      </w:pPr>
      <w:r>
        <w:t>预计节电量和回本期；</w:t>
      </w:r>
    </w:p>
    <w:p w14:paraId="37F10B6A">
      <w:pPr>
        <w:pStyle w:val="16"/>
        <w:ind w:firstLine="0"/>
      </w:pPr>
      <w:r>
        <w:t>高温持续时间；</w:t>
      </w:r>
    </w:p>
    <w:p w14:paraId="1A890314">
      <w:pPr>
        <w:pStyle w:val="16"/>
        <w:ind w:firstLine="0"/>
      </w:pPr>
      <w:r>
        <w:t>信息反馈方式；</w:t>
      </w:r>
    </w:p>
    <w:p w14:paraId="04E87EF3">
      <w:pPr>
        <w:pStyle w:val="16"/>
        <w:ind w:firstLine="0"/>
      </w:pPr>
      <w:r>
        <w:t>邻里采用比例；</w:t>
      </w:r>
    </w:p>
    <w:p w14:paraId="3971C988">
      <w:pPr>
        <w:pStyle w:val="16"/>
        <w:ind w:firstLine="0"/>
      </w:pPr>
      <w:r>
        <w:t>低收入账单保护。</w:t>
      </w:r>
    </w:p>
    <w:p w14:paraId="0F6AF66C">
      <w:r>
        <w:t>受访者在多个随机化情境中作出选择，由此估计：</w:t>
      </w:r>
    </w:p>
    <w:p w14:paraId="3A47CF90">
      <w:pPr>
        <w:ind w:firstLine="0"/>
        <w:jc w:val="center"/>
      </w:pPr>
      <w:r>
        <w:rPr>
          <w:rFonts w:ascii="Cambria Math" w:hAnsi="Cambria Math"/>
          <w:sz w:val="20"/>
        </w:rPr>
        <w:t xml:space="preserve"> Choice_{ij}=f(Policy_j, Household_i, Policy_j×Household_i) </w:t>
      </w:r>
    </w:p>
    <w:p w14:paraId="452AA415">
      <w:r>
        <w:t>(Choice_{ij}) 表示家庭 (i) 在情境 (j) 中的选择；(Policy_j) 是价格、补贴、信息和保障等政策属性；(Household_i) 是收入、住房、设备和基线用电等家庭属性。mixed logit、latent class model 或层级模型可以估计政策属性的边际效应、组合效应和群体差异。</w:t>
      </w:r>
    </w:p>
    <w:p w14:paraId="52FC18D5">
      <w:r>
        <w:t>直接情境选择比“心理特征—总体意愿—行为”更适合 ABM 参数化。政策变量保留现实单位，选择结果可以直接转换为采用概率、节电强度、WTP 和回本期阈值。</w:t>
      </w:r>
    </w:p>
    <w:p w14:paraId="4E80D63C">
      <w:pPr>
        <w:pStyle w:val="5"/>
      </w:pPr>
      <w:r>
        <w:t>2.3 心理特征用于解释异质性</w:t>
      </w:r>
    </w:p>
    <w:p w14:paraId="523D0E96">
      <w:r>
        <w:t>问卷仍需要测量损失厌恶、政策信任、时间偏好、舒适度底线和社会规范敏感度。这些变量不再用于生成一个抽象的总体意愿，而是用于解释相同政策下的选择差异。</w:t>
      </w:r>
    </w:p>
    <w:p w14:paraId="0D1FFF7E">
      <w:r>
        <w:t>例如，补贴金额相同，损失厌恶较强的家庭可能仍对惩罚更敏感；收入相同，政策信任较低的家庭可能不接受官方提供的节能收益预测；住房和设备相近，社会规范敏感度较高的家庭可能更容易受到邻里采用影响。</w:t>
      </w:r>
    </w:p>
    <w:p w14:paraId="1A79B598">
      <w:r>
        <w:t>问卷中的关系因此变为：</w:t>
      </w:r>
    </w:p>
    <w:p w14:paraId="649DEB99">
      <w:pPr>
        <w:shd w:val="clear" w:fill="F3F6F8"/>
        <w:spacing w:before="80" w:after="160"/>
        <w:ind w:left="454" w:right="454" w:firstLine="0"/>
      </w:pPr>
      <w:r>
        <w:rPr>
          <w:rFonts w:ascii="Consolas" w:hAnsi="Consolas" w:eastAsia="等线"/>
          <w:sz w:val="19"/>
        </w:rPr>
        <w:t>家庭现实约束 + 政策情境 + 心理特征交互</w:t>
      </w:r>
      <w:r>
        <w:rPr>
          <w:rFonts w:ascii="Consolas" w:hAnsi="Consolas" w:eastAsia="等线"/>
          <w:sz w:val="19"/>
        </w:rPr>
        <w:br w:type="textWrapping"/>
      </w:r>
      <w:r>
        <w:rPr>
          <w:rFonts w:ascii="Consolas" w:hAnsi="Consolas" w:eastAsia="等线"/>
          <w:sz w:val="19"/>
        </w:rPr>
        <w:t>→ 行为路径、采用概率、节电强度和支付意愿</w:t>
      </w:r>
    </w:p>
    <w:p w14:paraId="49A393AD">
      <w:pPr>
        <w:pStyle w:val="5"/>
      </w:pPr>
      <w:r>
        <w:t>2.4 问卷为 ABM 提供个体联合关系</w:t>
      </w:r>
    </w:p>
    <w:p w14:paraId="4CB0A589">
      <w:r>
        <w:t>使用总体均值分别生成收入、设备、态度和 WTP，可能组合出现实中很少出现的家庭。个体问卷可以保留同一受访者的收入、住房、设备、心理特征和政策选择之间的联合关系。</w:t>
      </w:r>
    </w:p>
    <w:p w14:paraId="2C5A26E6">
      <w:r>
        <w:t>Dello Russo 等（2025）比较公共汇总数据、问卷汇总分布和个体问卷初始化。个体问卷并未在所有总量指标上表现最好，但更能呈现可再生能源采用差异和社会经济分化。这正是本研究需要问卷的理由：政策组合研究不仅比较平均用电，还要判断不同家庭如何响应、谁获得收益、谁承担成本。</w:t>
      </w:r>
    </w:p>
    <w:p w14:paraId="13DC87E6">
      <w:pPr>
        <w:pStyle w:val="3"/>
      </w:pPr>
      <w:r>
        <w:t>3. 问卷怎样进入 ABM</w:t>
      </w:r>
    </w:p>
    <w:p w14:paraId="25E1B516">
      <w:r>
        <w:t>问卷不直接决定长期模拟结果，而是提供初始化和行为函数。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3621C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4F63252E">
            <w:r>
              <w:rPr>
                <w:b/>
                <w:sz w:val="18"/>
              </w:rPr>
              <w:t>问卷内容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2016A22F">
            <w:r>
              <w:rPr>
                <w:b/>
                <w:sz w:val="18"/>
              </w:rPr>
              <w:t>Agent 参数或规则</w:t>
            </w:r>
          </w:p>
        </w:tc>
      </w:tr>
      <w:tr w14:paraId="22DE5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16E98972">
            <w:pPr>
              <w:spacing w:after="0"/>
            </w:pPr>
            <w:r>
              <w:rPr>
                <w:sz w:val="18"/>
              </w:rPr>
              <w:t>家庭收入、住房、人口和设备</w:t>
            </w:r>
          </w:p>
        </w:tc>
        <w:tc>
          <w:tcPr>
            <w:tcW w:w="4702" w:type="dxa"/>
            <w:vAlign w:val="center"/>
          </w:tcPr>
          <w:p w14:paraId="05835E78">
            <w:pPr>
              <w:spacing w:after="0"/>
            </w:pPr>
            <w:r>
              <w:rPr>
                <w:sz w:val="18"/>
              </w:rPr>
              <w:t>预算、设备存量、基础负荷和可改造条件</w:t>
            </w:r>
          </w:p>
        </w:tc>
      </w:tr>
      <w:tr w14:paraId="39DE7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340D88C7">
            <w:pPr>
              <w:spacing w:after="0"/>
            </w:pPr>
            <w:r>
              <w:rPr>
                <w:sz w:val="18"/>
              </w:rPr>
              <w:t>多个政策情境中的选择</w:t>
            </w:r>
          </w:p>
        </w:tc>
        <w:tc>
          <w:tcPr>
            <w:tcW w:w="4702" w:type="dxa"/>
            <w:vAlign w:val="center"/>
          </w:tcPr>
          <w:p w14:paraId="582BF283">
            <w:pPr>
              <w:spacing w:after="0"/>
            </w:pPr>
            <w:r>
              <w:rPr>
                <w:sz w:val="18"/>
              </w:rPr>
              <w:t>补贴、电价、信息和保障条件下的选择概率</w:t>
            </w:r>
          </w:p>
        </w:tc>
      </w:tr>
      <w:tr w14:paraId="11EFC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0DDE53E1">
            <w:pPr>
              <w:spacing w:after="0"/>
            </w:pPr>
            <w:r>
              <w:rPr>
                <w:sz w:val="18"/>
              </w:rPr>
              <w:t>WTP 与回本期</w:t>
            </w:r>
          </w:p>
        </w:tc>
        <w:tc>
          <w:tcPr>
            <w:tcW w:w="4702" w:type="dxa"/>
            <w:vAlign w:val="center"/>
          </w:tcPr>
          <w:p w14:paraId="70F6129B">
            <w:pPr>
              <w:spacing w:after="0"/>
            </w:pPr>
            <w:r>
              <w:rPr>
                <w:sz w:val="18"/>
              </w:rPr>
              <w:t>设备投资阈值</w:t>
            </w:r>
          </w:p>
        </w:tc>
      </w:tr>
      <w:tr w14:paraId="07D22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4F2A6208">
            <w:pPr>
              <w:spacing w:after="0"/>
            </w:pPr>
            <w:r>
              <w:rPr>
                <w:sz w:val="18"/>
              </w:rPr>
              <w:t>高温情境中的节电选择</w:t>
            </w:r>
          </w:p>
        </w:tc>
        <w:tc>
          <w:tcPr>
            <w:tcW w:w="4702" w:type="dxa"/>
            <w:vAlign w:val="center"/>
          </w:tcPr>
          <w:p w14:paraId="3D1BA7F9">
            <w:pPr>
              <w:spacing w:after="0"/>
            </w:pPr>
            <w:r>
              <w:rPr>
                <w:sz w:val="18"/>
              </w:rPr>
              <w:t>舒适度约束和需求削减范围</w:t>
            </w:r>
          </w:p>
        </w:tc>
      </w:tr>
      <w:tr w14:paraId="3B5FD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5E18E345">
            <w:pPr>
              <w:spacing w:after="0"/>
            </w:pPr>
            <w:r>
              <w:rPr>
                <w:sz w:val="18"/>
              </w:rPr>
              <w:t>政策信任和损失厌恶</w:t>
            </w:r>
          </w:p>
        </w:tc>
        <w:tc>
          <w:tcPr>
            <w:tcW w:w="4702" w:type="dxa"/>
            <w:vAlign w:val="center"/>
          </w:tcPr>
          <w:p w14:paraId="2AA7253C">
            <w:pPr>
              <w:spacing w:after="0"/>
            </w:pPr>
            <w:r>
              <w:rPr>
                <w:sz w:val="18"/>
              </w:rPr>
              <w:t>政策响应异质性</w:t>
            </w:r>
          </w:p>
        </w:tc>
      </w:tr>
      <w:tr w14:paraId="04A5B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73FAD1CA">
            <w:pPr>
              <w:spacing w:after="0"/>
            </w:pPr>
            <w:r>
              <w:rPr>
                <w:sz w:val="18"/>
              </w:rPr>
              <w:t>邻里信息和社会规范题项</w:t>
            </w:r>
          </w:p>
        </w:tc>
        <w:tc>
          <w:tcPr>
            <w:tcW w:w="4702" w:type="dxa"/>
            <w:vAlign w:val="center"/>
          </w:tcPr>
          <w:p w14:paraId="1971DC47">
            <w:pPr>
              <w:spacing w:after="0"/>
            </w:pPr>
            <w:r>
              <w:rPr>
                <w:sz w:val="18"/>
              </w:rPr>
              <w:t>网络影响权重和扩散阈值</w:t>
            </w:r>
          </w:p>
        </w:tc>
      </w:tr>
    </w:tbl>
    <w:p w14:paraId="0173BDB6">
      <w:pPr>
        <w:spacing w:after="0"/>
      </w:pPr>
    </w:p>
    <w:p w14:paraId="2299A9D9">
      <w:r>
        <w:t>ABM 在每个时期读取天气、价格、政策和邻居状态，调用问卷估计的行为函数。行为改变账单、舒适度和设备状态，这些结果再进入下一期决策。</w:t>
      </w:r>
    </w:p>
    <w:p w14:paraId="78C3F8BA">
      <w:pPr>
        <w:shd w:val="clear" w:fill="F3F6F8"/>
        <w:spacing w:before="80" w:after="160"/>
        <w:ind w:left="454" w:right="454" w:firstLine="0"/>
      </w:pPr>
      <w:r>
        <w:rPr>
          <w:rFonts w:ascii="Consolas" w:hAnsi="Consolas" w:eastAsia="等线"/>
          <w:sz w:val="19"/>
        </w:rPr>
        <w:t>Agent 属性</w:t>
      </w:r>
      <w:r>
        <w:rPr>
          <w:rFonts w:ascii="Consolas" w:hAnsi="Consolas" w:eastAsia="等线"/>
          <w:sz w:val="19"/>
        </w:rPr>
        <w:br w:type="textWrapping"/>
      </w:r>
      <w:r>
        <w:rPr>
          <w:rFonts w:ascii="Consolas" w:hAnsi="Consolas" w:eastAsia="等线"/>
          <w:sz w:val="19"/>
        </w:rPr>
        <w:t>→ 当前天气、政策和邻居状态</w:t>
      </w:r>
      <w:r>
        <w:rPr>
          <w:rFonts w:ascii="Consolas" w:hAnsi="Consolas" w:eastAsia="等线"/>
          <w:sz w:val="19"/>
        </w:rPr>
        <w:br w:type="textWrapping"/>
      </w:r>
      <w:r>
        <w:rPr>
          <w:rFonts w:ascii="Consolas" w:hAnsi="Consolas" w:eastAsia="等线"/>
          <w:sz w:val="19"/>
        </w:rPr>
        <w:t>→ 选择节电、升级设备或维持行为</w:t>
      </w:r>
      <w:r>
        <w:rPr>
          <w:rFonts w:ascii="Consolas" w:hAnsi="Consolas" w:eastAsia="等线"/>
          <w:sz w:val="19"/>
        </w:rPr>
        <w:br w:type="textWrapping"/>
      </w:r>
      <w:r>
        <w:rPr>
          <w:rFonts w:ascii="Consolas" w:hAnsi="Consolas" w:eastAsia="等线"/>
          <w:sz w:val="19"/>
        </w:rPr>
        <w:t>→ 更新用电、账单、设备和经验</w:t>
      </w:r>
      <w:r>
        <w:rPr>
          <w:rFonts w:ascii="Consolas" w:hAnsi="Consolas" w:eastAsia="等线"/>
          <w:sz w:val="19"/>
        </w:rPr>
        <w:br w:type="textWrapping"/>
      </w:r>
      <w:r>
        <w:rPr>
          <w:rFonts w:ascii="Consolas" w:hAnsi="Consolas" w:eastAsia="等线"/>
          <w:sz w:val="19"/>
        </w:rPr>
        <w:t>→ 下一期重新决策</w:t>
      </w:r>
    </w:p>
    <w:p w14:paraId="09F8740D">
      <w:r>
        <w:t>问卷回答的是特定情境中的条件选择，ABM 计算这些选择在重复冲击、设备寿命、预算约束和社会扩散下的累积结果。</w:t>
      </w:r>
    </w:p>
    <w:p w14:paraId="0FD25368">
      <w:pPr>
        <w:pStyle w:val="3"/>
      </w:pPr>
      <w:r>
        <w:t>4. LLM 加入后提升了什么</w:t>
      </w:r>
    </w:p>
    <w:p w14:paraId="47335C42">
      <w:pPr>
        <w:pStyle w:val="5"/>
      </w:pPr>
      <w:r>
        <w:t>4.1 传统规则和 ANN 的边界</w:t>
      </w:r>
    </w:p>
    <w:p w14:paraId="32516E1B">
      <w:r>
        <w:t>规则模型透明，但需要研究者提前列出所有条件。当政策组合、天气、设备状态、家庭约束和历史经验同时变化时，规则数量会迅速增加。</w:t>
      </w:r>
    </w:p>
    <w:p w14:paraId="1CC53972">
      <w:r>
        <w:t>ANN 可以拟合复杂非线性关系。Yue 等（2020）使用 BP 神经网络连接问卷输入和节能行为，说明 ANN 可以充当 Agent 内部的行为函数。但 ANN 主要学习固定的输入输出映射，难以直接处理政策文本、开放式理由、前后情境冲突和未预先编码的信息；其内部机制也不容易解释。</w:t>
      </w:r>
    </w:p>
    <w:p w14:paraId="2B112707">
      <w:r>
        <w:t>LLM 的价值在于增加一个受约束的情境推理层，而不是替代问卷和统计模型。</w:t>
      </w:r>
    </w:p>
    <w:p w14:paraId="58E7618A">
      <w:pPr>
        <w:pStyle w:val="5"/>
      </w:pPr>
      <w:r>
        <w:t>4.2 处理复杂政策语义</w:t>
      </w:r>
    </w:p>
    <w:p w14:paraId="7EDD9909">
      <w:r>
        <w:t>居民接收到的政策不是几个数值变量，还包括资格条件、补贴申请方式、账单保护、政策期限和执行主体。LLM 可以读取结构化数值和简短政策说明，判断政策是否适用于当前家庭。</w:t>
      </w:r>
    </w:p>
    <w:p w14:paraId="66A4796B">
      <w:r>
        <w:t>例如，同样是20%的设备补贴，租户、现金不足家庭和已有高效设备家庭面对的实际选择不同。传统模型需要为每种情况编写分支规则；LLM 可以在预算、产权和设备约束内解释政策条件，再输出规定格式的选择。</w:t>
      </w:r>
    </w:p>
    <w:p w14:paraId="1D674D1B">
      <w:pPr>
        <w:pStyle w:val="5"/>
      </w:pPr>
      <w:r>
        <w:t>4.3 表达多目标权衡和有限理性</w:t>
      </w:r>
    </w:p>
    <w:p w14:paraId="7B481EA4">
      <w:r>
        <w:t>居民选择同时受到费用、舒适度、设备寿命、风险和环保偏好影响。固定效用函数可以表达平均权衡，但很难覆盖家庭在极端高温、突发账单和政策不确定性下使用的启发式规则。</w:t>
      </w:r>
    </w:p>
    <w:p w14:paraId="70C8A017">
      <w:r>
        <w:t>LLM 可以在问卷识别的参数范围内处理这些冲突。例如，低收入家庭可能认可设备长期节能收益，但因当期现金约束选择减少用电；有老人或儿童的家庭可能优先维持舒适度，即使电价上升也不削减空调用电。LLM 输出选择及其理由，结构模块再检查预算、设备和能耗是否满足约束。</w:t>
      </w:r>
    </w:p>
    <w:p w14:paraId="5FF4DB87">
      <w:pPr>
        <w:pStyle w:val="5"/>
      </w:pPr>
      <w:r>
        <w:t>4.4 使用记忆形成路径依赖</w:t>
      </w:r>
    </w:p>
    <w:p w14:paraId="0E3B4976">
      <w:r>
        <w:t>传统静态选择模型通常根据当前输入给出概率。LLM 可以读取有限的事件记忆，例如过去高温持续时间、实际节电收益、补贴申请失败、邻居使用体验和政策兑现情况。这些经历会改变下一次选择。</w:t>
      </w:r>
    </w:p>
    <w:p w14:paraId="77522EBE">
      <w:r>
        <w:t>记忆机制使模型能够表示：</w:t>
      </w:r>
    </w:p>
    <w:p w14:paraId="09354A4D">
      <w:pPr>
        <w:pStyle w:val="16"/>
        <w:ind w:firstLine="0"/>
      </w:pPr>
      <w:r>
        <w:t>政策兑现提高信任；</w:t>
      </w:r>
    </w:p>
    <w:p w14:paraId="36FB6AE9">
      <w:pPr>
        <w:pStyle w:val="16"/>
        <w:ind w:firstLine="0"/>
      </w:pPr>
      <w:r>
        <w:t>节电导致明显不适后降低后续节电强度；</w:t>
      </w:r>
    </w:p>
    <w:p w14:paraId="56D758A5">
      <w:pPr>
        <w:pStyle w:val="16"/>
        <w:ind w:firstLine="0"/>
      </w:pPr>
      <w:r>
        <w:t>邻居设备使用成功后提高采用概率；</w:t>
      </w:r>
    </w:p>
    <w:p w14:paraId="68202C27">
      <w:pPr>
        <w:pStyle w:val="16"/>
        <w:ind w:firstLine="0"/>
      </w:pPr>
      <w:r>
        <w:t>连续高温使短期节电逐渐转向设备投资。</w:t>
      </w:r>
    </w:p>
    <w:p w14:paraId="27A77FAA">
      <w:r>
        <w:t>这些路径依赖是 ABM 研究动态政策过程的重要内容。</w:t>
      </w:r>
    </w:p>
    <w:p w14:paraId="12D140EC">
      <w:pPr>
        <w:pStyle w:val="5"/>
      </w:pPr>
      <w:r>
        <w:t>4.5 利用开放式问卷信息</w:t>
      </w:r>
    </w:p>
    <w:p w14:paraId="0234D019">
      <w:r>
        <w:t>结构化问卷适合估计平均参数，开放式回答可以补充居民拒绝政策、担忧设备或不信任执行机构的原因。LLM 可以把开放式回答编码为有限类别或个体记忆，例如资金约束、产权障碍、信息不信任、舒适需求和申请成本。</w:t>
      </w:r>
    </w:p>
    <w:p w14:paraId="22E4DF59">
      <w:r>
        <w:t>这些信息经过人工抽样核验后，可以进入 Agent 的决策上下文，减少仅依赖量表均值造成的信息损失。</w:t>
      </w:r>
    </w:p>
    <w:p w14:paraId="2E888C51">
      <w:pPr>
        <w:pStyle w:val="5"/>
      </w:pPr>
      <w:r>
        <w:t>4.6 提高政策组合模拟的可扩展性</w:t>
      </w:r>
    </w:p>
    <w:p w14:paraId="6DCB0371">
      <w:r>
        <w:t>Policy mix 包含工具强度、组合、顺序和实施说明。完全依靠人工规则，需要为每一种组合编写行为逻辑。LLM 可以使用同一套受约束决策模板处理不同政策包，减少规则数量，并允许测试问卷未逐一展示但仍处于属性范围内的组合。</w:t>
      </w:r>
    </w:p>
    <w:p w14:paraId="6068FDDA">
      <w:r>
        <w:t>这种扩展只能用于情境探索。超出问卷属性范围或现实政策范围的组合需要标记为外推，不能与样本内情境使用相同的可信度解释。</w:t>
      </w:r>
    </w:p>
    <w:p w14:paraId="2EE91DCA">
      <w:pPr>
        <w:pStyle w:val="3"/>
      </w:pPr>
      <w:r>
        <w:t>5. LLM 在模型中的受约束位置</w:t>
      </w:r>
    </w:p>
    <w:p w14:paraId="3E158247">
      <w:r>
        <w:t>推荐使用混合架构：</w:t>
      </w:r>
    </w:p>
    <w:p w14:paraId="6837AA4C">
      <w:pPr>
        <w:ind w:firstLine="0"/>
        <w:jc w:val="center"/>
      </w:pPr>
      <w:r>
        <w:rPr>
          <w:rFonts w:ascii="Cambria Math" w:hAnsi="Cambria Math"/>
          <w:sz w:val="20"/>
        </w:rPr>
        <w:t xml:space="preserve"> Decision=Structural\ Constraints+Empirical\ Choice\ Model+Bounded\ LLM\ Reasoning </w:t>
      </w:r>
    </w:p>
    <w:p w14:paraId="35861ED4">
      <w:r>
        <w:t>结构模型负责预算、设备、能耗、住房产权和政策资格；问卷估计的选择模型提供基础概率；LLM 根据政策说明、家庭状态和有限记忆进行情境修正。LLM 只能从预先定义的行为集合中选择：节电、设备投资、维持用电或延迟决策。</w:t>
      </w:r>
    </w:p>
    <w:p w14:paraId="57706164">
      <w:r>
        <w:t>LLM 输出至少包括：</w:t>
      </w:r>
    </w:p>
    <w:p w14:paraId="7462B06D">
      <w:pPr>
        <w:shd w:val="clear" w:fill="F3F6F8"/>
        <w:spacing w:before="80" w:after="160"/>
        <w:ind w:left="454" w:right="454" w:firstLine="0"/>
      </w:pPr>
      <w:r>
        <w:rPr>
          <w:rFonts w:ascii="Consolas" w:hAnsi="Consolas" w:eastAsia="等线"/>
          <w:sz w:val="19"/>
        </w:rPr>
        <w:t>行为选择</w:t>
      </w:r>
      <w:r>
        <w:rPr>
          <w:rFonts w:ascii="Consolas" w:hAnsi="Consolas" w:eastAsia="等线"/>
          <w:sz w:val="19"/>
        </w:rPr>
        <w:br w:type="textWrapping"/>
      </w:r>
      <w:r>
        <w:rPr>
          <w:rFonts w:ascii="Consolas" w:hAnsi="Consolas" w:eastAsia="等线"/>
          <w:sz w:val="19"/>
        </w:rPr>
        <w:t>节电强度或采用概率</w:t>
      </w:r>
      <w:r>
        <w:rPr>
          <w:rFonts w:ascii="Consolas" w:hAnsi="Consolas" w:eastAsia="等线"/>
          <w:sz w:val="19"/>
        </w:rPr>
        <w:br w:type="textWrapping"/>
      </w:r>
      <w:r>
        <w:rPr>
          <w:rFonts w:ascii="Consolas" w:hAnsi="Consolas" w:eastAsia="等线"/>
          <w:sz w:val="19"/>
        </w:rPr>
        <w:t>触发该选择的主要约束</w:t>
      </w:r>
      <w:r>
        <w:rPr>
          <w:rFonts w:ascii="Consolas" w:hAnsi="Consolas" w:eastAsia="等线"/>
          <w:sz w:val="19"/>
        </w:rPr>
        <w:br w:type="textWrapping"/>
      </w:r>
      <w:r>
        <w:rPr>
          <w:rFonts w:ascii="Consolas" w:hAnsi="Consolas" w:eastAsia="等线"/>
          <w:sz w:val="19"/>
        </w:rPr>
        <w:t>使用的记忆信息</w:t>
      </w:r>
      <w:r>
        <w:rPr>
          <w:rFonts w:ascii="Consolas" w:hAnsi="Consolas" w:eastAsia="等线"/>
          <w:sz w:val="19"/>
        </w:rPr>
        <w:br w:type="textWrapping"/>
      </w:r>
      <w:r>
        <w:rPr>
          <w:rFonts w:ascii="Consolas" w:hAnsi="Consolas" w:eastAsia="等线"/>
          <w:sz w:val="19"/>
        </w:rPr>
        <w:t>结果置信度</w:t>
      </w:r>
    </w:p>
    <w:p w14:paraId="686369A1">
      <w:r>
        <w:t>输出随后经过预算、设备可用性、能量范围和概率边界检查。不符合约束的结果由结构模型修正或退回统计基线。</w:t>
      </w:r>
    </w:p>
    <w:p w14:paraId="0529F21C">
      <w:pPr>
        <w:pStyle w:val="3"/>
      </w:pPr>
      <w:r>
        <w:t>6. 怎样证明问卷和 LLM 确实有价值</w:t>
      </w:r>
    </w:p>
    <w:p w14:paraId="0B13A21A">
      <w:r>
        <w:t>研究使用同一能源计算、天气、政策和网络环境，比较四种模型：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6639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0DE0578A">
            <w:r>
              <w:rPr>
                <w:b/>
                <w:sz w:val="18"/>
              </w:rPr>
              <w:t>模型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694B1886">
            <w:r>
              <w:rPr>
                <w:b/>
                <w:sz w:val="18"/>
              </w:rPr>
              <w:t>居民行为来源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58856A1C">
            <w:r>
              <w:rPr>
                <w:b/>
                <w:sz w:val="18"/>
              </w:rPr>
              <w:t>检验内容</w:t>
            </w:r>
          </w:p>
        </w:tc>
      </w:tr>
      <w:tr w14:paraId="00101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25328CB2">
            <w:pPr>
              <w:spacing w:after="0"/>
            </w:pPr>
            <w:r>
              <w:rPr>
                <w:sz w:val="18"/>
              </w:rPr>
              <w:t>B0</w:t>
            </w:r>
          </w:p>
        </w:tc>
        <w:tc>
          <w:tcPr>
            <w:tcW w:w="3135" w:type="dxa"/>
            <w:vAlign w:val="center"/>
          </w:tcPr>
          <w:p w14:paraId="1D290002">
            <w:pPr>
              <w:spacing w:after="0"/>
            </w:pPr>
            <w:r>
              <w:rPr>
                <w:sz w:val="18"/>
              </w:rPr>
              <w:t>公共数据和文献规则</w:t>
            </w:r>
          </w:p>
        </w:tc>
        <w:tc>
          <w:tcPr>
            <w:tcW w:w="3135" w:type="dxa"/>
            <w:vAlign w:val="center"/>
          </w:tcPr>
          <w:p w14:paraId="4FD92B01">
            <w:pPr>
              <w:spacing w:after="0"/>
            </w:pPr>
            <w:r>
              <w:rPr>
                <w:sz w:val="18"/>
              </w:rPr>
              <w:t>无问卷基线</w:t>
            </w:r>
          </w:p>
        </w:tc>
      </w:tr>
      <w:tr w14:paraId="10886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11F239CA">
            <w:pPr>
              <w:spacing w:after="0"/>
            </w:pPr>
            <w:r>
              <w:rPr>
                <w:sz w:val="18"/>
              </w:rPr>
              <w:t>B1</w:t>
            </w:r>
          </w:p>
        </w:tc>
        <w:tc>
          <w:tcPr>
            <w:tcW w:w="3135" w:type="dxa"/>
            <w:vAlign w:val="center"/>
          </w:tcPr>
          <w:p w14:paraId="75B20191">
            <w:pPr>
              <w:spacing w:after="0"/>
            </w:pPr>
            <w:r>
              <w:rPr>
                <w:sz w:val="18"/>
              </w:rPr>
              <w:t>问卷汇总分布和统计选择模型</w:t>
            </w:r>
          </w:p>
        </w:tc>
        <w:tc>
          <w:tcPr>
            <w:tcW w:w="3135" w:type="dxa"/>
            <w:vAlign w:val="center"/>
          </w:tcPr>
          <w:p w14:paraId="43A340BE">
            <w:pPr>
              <w:spacing w:after="0"/>
            </w:pPr>
            <w:r>
              <w:rPr>
                <w:sz w:val="18"/>
              </w:rPr>
              <w:t>问卷总体参数的价值</w:t>
            </w:r>
          </w:p>
        </w:tc>
      </w:tr>
      <w:tr w14:paraId="379AF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521F7CA6">
            <w:pPr>
              <w:spacing w:after="0"/>
            </w:pPr>
            <w:r>
              <w:rPr>
                <w:sz w:val="18"/>
              </w:rPr>
              <w:t>M1</w:t>
            </w:r>
          </w:p>
        </w:tc>
        <w:tc>
          <w:tcPr>
            <w:tcW w:w="3135" w:type="dxa"/>
            <w:vAlign w:val="center"/>
          </w:tcPr>
          <w:p w14:paraId="7F6BAC05">
            <w:pPr>
              <w:spacing w:after="0"/>
            </w:pPr>
            <w:r>
              <w:rPr>
                <w:sz w:val="18"/>
              </w:rPr>
              <w:t>个体问卷和统计选择模型</w:t>
            </w:r>
          </w:p>
        </w:tc>
        <w:tc>
          <w:tcPr>
            <w:tcW w:w="3135" w:type="dxa"/>
            <w:vAlign w:val="center"/>
          </w:tcPr>
          <w:p w14:paraId="01A66CC0">
            <w:pPr>
              <w:spacing w:after="0"/>
            </w:pPr>
            <w:r>
              <w:rPr>
                <w:sz w:val="18"/>
              </w:rPr>
              <w:t>个体联合异质性的价值</w:t>
            </w:r>
          </w:p>
        </w:tc>
      </w:tr>
      <w:tr w14:paraId="134FB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023A56A2">
            <w:pPr>
              <w:spacing w:after="0"/>
            </w:pPr>
            <w:r>
              <w:rPr>
                <w:sz w:val="18"/>
              </w:rPr>
              <w:t>M2</w:t>
            </w:r>
          </w:p>
        </w:tc>
        <w:tc>
          <w:tcPr>
            <w:tcW w:w="3135" w:type="dxa"/>
            <w:vAlign w:val="center"/>
          </w:tcPr>
          <w:p w14:paraId="1401C2C5">
            <w:pPr>
              <w:spacing w:after="0"/>
            </w:pPr>
            <w:r>
              <w:rPr>
                <w:sz w:val="18"/>
              </w:rPr>
              <w:t>个体问卷、统计模型和受约束 LLM</w:t>
            </w:r>
          </w:p>
        </w:tc>
        <w:tc>
          <w:tcPr>
            <w:tcW w:w="3135" w:type="dxa"/>
            <w:vAlign w:val="center"/>
          </w:tcPr>
          <w:p w14:paraId="4BDA6EF1">
            <w:pPr>
              <w:spacing w:after="0"/>
            </w:pPr>
            <w:r>
              <w:rPr>
                <w:sz w:val="18"/>
              </w:rPr>
              <w:t>LLM 情境推理的增量价值</w:t>
            </w:r>
          </w:p>
        </w:tc>
      </w:tr>
    </w:tbl>
    <w:p w14:paraId="5AE6D70A">
      <w:pPr>
        <w:spacing w:after="0"/>
      </w:pPr>
    </w:p>
    <w:p w14:paraId="3BB84F6B">
      <w:r>
        <w:t>评价指标包括：</w:t>
      </w:r>
    </w:p>
    <w:p w14:paraId="1FCBCEBA">
      <w:pPr>
        <w:pStyle w:val="16"/>
        <w:ind w:firstLine="0"/>
      </w:pPr>
      <w:r>
        <w:t>留出问卷情境中的选择预测；</w:t>
      </w:r>
    </w:p>
    <w:p w14:paraId="40969EA0">
      <w:pPr>
        <w:pStyle w:val="16"/>
        <w:ind w:firstLine="0"/>
      </w:pPr>
      <w:r>
        <w:t>收入、住房和设备群体的预测误差；</w:t>
      </w:r>
    </w:p>
    <w:p w14:paraId="60AAE20D">
      <w:pPr>
        <w:pStyle w:val="16"/>
        <w:ind w:firstLine="0"/>
      </w:pPr>
      <w:r>
        <w:t>历史用电、设备采用和账单分布；</w:t>
      </w:r>
    </w:p>
    <w:p w14:paraId="090A9F33">
      <w:pPr>
        <w:pStyle w:val="16"/>
        <w:ind w:firstLine="0"/>
      </w:pPr>
      <w:r>
        <w:t>不同政策组合的相对排序；</w:t>
      </w:r>
    </w:p>
    <w:p w14:paraId="104D6690">
      <w:pPr>
        <w:pStyle w:val="16"/>
        <w:ind w:firstLine="0"/>
      </w:pPr>
      <w:r>
        <w:t>低收入和高能源负担家庭的结果；</w:t>
      </w:r>
    </w:p>
    <w:p w14:paraId="43E9ED64">
      <w:pPr>
        <w:pStyle w:val="16"/>
        <w:ind w:firstLine="0"/>
      </w:pPr>
      <w:r>
        <w:t>随机种子、Prompt、模型版本和参数变化下的稳定性。</w:t>
      </w:r>
    </w:p>
    <w:p w14:paraId="56EABC8A">
      <w:r>
        <w:t>如果 B1 优于 B0，说明问卷识别的政策响应具有价值。如果 M1 只改善群体差异而不改善总量，说明个体问卷主要服务于分配分析。如果 M2 相比 M1 提高复杂情境预测或政策排序稳定性，LLM 构成有效的技术提升；否则，LLM 只保留为开放式信息编码或解释工具。</w:t>
      </w:r>
    </w:p>
    <w:p w14:paraId="5F862B10">
      <w:pPr>
        <w:pStyle w:val="3"/>
      </w:pPr>
      <w:r>
        <w:t>7. 两项核心贡献</w:t>
      </w:r>
    </w:p>
    <w:p w14:paraId="2FAE76C6">
      <w:pPr>
        <w:pStyle w:val="5"/>
      </w:pPr>
      <w:r>
        <w:t>7.1 Policy mix 设计贡献</w:t>
      </w:r>
    </w:p>
    <w:p w14:paraId="32613140">
      <w:r>
        <w:t>政策组合不再由“变量全部取最大值”表示，而是由具体工具、强度、顺序和保障条件构成。研究可以检验价格与补贴、信息与设备支持、惩罚与低收入保护之间的互补、替代和分配效应。政策效果同时包括用电、设备采用、财政成本和群体负担。</w:t>
      </w:r>
    </w:p>
    <w:p w14:paraId="2B1018F5">
      <w:pPr>
        <w:pStyle w:val="5"/>
      </w:pPr>
      <w:r>
        <w:t>7.2 居民模型贡献</w:t>
      </w:r>
    </w:p>
    <w:p w14:paraId="6B6E51FC">
      <w:r>
        <w:t>问卷直接测量家庭在随机化政策情境中的选择，心理特征解释响应差异。个体问卷保留收入、住房、设备、行为阈值和政策选择之间的联合关系。LLM 在这些经验参数和结构约束内处理政策说明、有限理性、历史记忆和社会互动。</w:t>
      </w:r>
    </w:p>
    <w:p w14:paraId="234BA00F">
      <w:r>
        <w:t>两项贡献组成一套可检验的方法：</w:t>
      </w:r>
    </w:p>
    <w:p w14:paraId="6DAA08F4">
      <w:pPr>
        <w:pStyle w:val="16"/>
        <w:ind w:firstLine="0"/>
      </w:pPr>
      <w:r>
        <w:t>用随机化政策情境直接识别居民对政策组合的选择；</w:t>
      </w:r>
    </w:p>
    <w:p w14:paraId="64504461">
      <w:pPr>
        <w:pStyle w:val="16"/>
        <w:ind w:firstLine="0"/>
      </w:pPr>
      <w:r>
        <w:t>用心理特征解释响应差异，而不是先生成抽象意愿；</w:t>
      </w:r>
    </w:p>
    <w:p w14:paraId="0CD5C366">
      <w:pPr>
        <w:pStyle w:val="16"/>
        <w:ind w:firstLine="0"/>
      </w:pPr>
      <w:r>
        <w:t>将个体问卷中的家庭约束、行为阈值和政策选择保留在同一 Agent 中；</w:t>
      </w:r>
    </w:p>
    <w:p w14:paraId="16A12D1D">
      <w:pPr>
        <w:pStyle w:val="16"/>
        <w:ind w:firstLine="0"/>
      </w:pPr>
      <w:r>
        <w:t>用 LLM 增加政策语义、多目标权衡、有限记忆和开放式信息处理；</w:t>
      </w:r>
    </w:p>
    <w:p w14:paraId="6DC6770B">
      <w:pPr>
        <w:pStyle w:val="16"/>
        <w:ind w:firstLine="0"/>
      </w:pPr>
      <w:r>
        <w:t>通过 B0、B1、M1 和 M2 的对照，分别检验问卷和 LLM 的增量价值。</w:t>
      </w:r>
    </w:p>
    <w:p w14:paraId="79760511">
      <w:r>
        <w:t>这套框架把宏观 policy mix 理论转化为家庭层面的政策感知和选择，再把家庭选择汇总为动态能源和分配结果。它同时推进政策组合设计和居民 ABM 建模，而不是只在现有模型中增加一个 LLM 模块。</w:t>
      </w:r>
    </w:p>
    <w:p w14:paraId="2E0734EF">
      <w:pPr>
        <w:pStyle w:val="3"/>
      </w:pPr>
      <w:r>
        <w:t>参考文献</w:t>
      </w:r>
    </w:p>
    <w:p w14:paraId="6B68FC47">
      <w:r>
        <w:t xml:space="preserve">Dello Russo, G., Odonkor, P., Lytle, A., Wu, L., &amp; Hoffenson, S. (2025). Energy transitions from individuals or aggregates? How consumer data sources shape agent-based simulations in the United States. </w:t>
      </w:r>
      <w:r>
        <w:rPr>
          <w:i/>
        </w:rPr>
        <w:t>Energy Research &amp; Social Science, 125</w:t>
      </w:r>
      <w:r>
        <w:t xml:space="preserve">, 104071. </w:t>
      </w:r>
      <w:r>
        <w:rPr>
          <w:color w:val="0563C1"/>
          <w:u w:val="single"/>
        </w:rPr>
        <w:t>https://doi.org/10.1016/j.erss.2025.104071</w:t>
      </w:r>
    </w:p>
    <w:p w14:paraId="179FFA56">
      <w:r>
        <w:t xml:space="preserve">Khanna, N. Z., Guo, J., &amp; Zheng, X. (2016). Effects of demand side management on Chinese household electricity consumption: Empirical findings from Chinese household survey. </w:t>
      </w:r>
      <w:r>
        <w:rPr>
          <w:i/>
        </w:rPr>
        <w:t>Energy Policy, 95</w:t>
      </w:r>
      <w:r>
        <w:t xml:space="preserve">, 113-125. </w:t>
      </w:r>
      <w:r>
        <w:rPr>
          <w:color w:val="0563C1"/>
          <w:u w:val="single"/>
        </w:rPr>
        <w:t>https://doi.org/10.1016/j.enpol.2016.04.049</w:t>
      </w:r>
    </w:p>
    <w:p w14:paraId="14042EBC">
      <w:r>
        <w:t xml:space="preserve">Li, L., &amp; Taeihagh, A. (2020). An in-depth analysis of the evolution of the policy mix for the sustainable energy transition in China from 1981 to 2020. </w:t>
      </w:r>
      <w:r>
        <w:rPr>
          <w:i/>
        </w:rPr>
        <w:t>Applied Energy, 263</w:t>
      </w:r>
      <w:r>
        <w:t xml:space="preserve">, 114611. </w:t>
      </w:r>
      <w:r>
        <w:rPr>
          <w:color w:val="0563C1"/>
          <w:u w:val="single"/>
        </w:rPr>
        <w:t>https://doi.org/10.1016/j.apenergy.2020.114611</w:t>
      </w:r>
    </w:p>
    <w:p w14:paraId="539D7E80">
      <w:r>
        <w:t xml:space="preserve">Liang, X., Yu, T., Hong, J., &amp; Shen, G. Q. (2019). Making incentive policies more effective: An agent-based model for energy-efficiency retrofit in China. </w:t>
      </w:r>
      <w:r>
        <w:rPr>
          <w:i/>
        </w:rPr>
        <w:t>Energy Policy, 126</w:t>
      </w:r>
      <w:r>
        <w:t xml:space="preserve">, 177-189. </w:t>
      </w:r>
      <w:r>
        <w:rPr>
          <w:color w:val="0563C1"/>
          <w:u w:val="single"/>
        </w:rPr>
        <w:t>https://doi.org/10.1016/j.enpol.2018.11.029</w:t>
      </w:r>
    </w:p>
    <w:p w14:paraId="041F522E">
      <w:r>
        <w:t xml:space="preserve">Nieddu, M., Raberto, M., Ponta, L., Teglio, A., &amp; Cincotti, S. (2024). Evaluating policy mix strategies for the energy transition using an agent-based macroeconomic model. </w:t>
      </w:r>
      <w:r>
        <w:rPr>
          <w:i/>
        </w:rPr>
        <w:t>Energy Policy, 193</w:t>
      </w:r>
      <w:r>
        <w:t xml:space="preserve">, 114276. </w:t>
      </w:r>
      <w:r>
        <w:rPr>
          <w:color w:val="0563C1"/>
          <w:u w:val="single"/>
        </w:rPr>
        <w:t>https://doi.org/10.1016/j.enpol.2024.114276</w:t>
      </w:r>
    </w:p>
    <w:p w14:paraId="307F5827">
      <w:r>
        <w:t xml:space="preserve">Rogge, K. S., &amp; Reichardt, K. (2016). Policy mixes for sustainability transitions: An extended concept and framework for analysis. </w:t>
      </w:r>
      <w:r>
        <w:rPr>
          <w:i/>
        </w:rPr>
        <w:t>Research Policy, 45</w:t>
      </w:r>
      <w:r>
        <w:t xml:space="preserve">(8), 1620-1635. </w:t>
      </w:r>
      <w:r>
        <w:rPr>
          <w:color w:val="0563C1"/>
          <w:u w:val="single"/>
        </w:rPr>
        <w:t>https://doi.org/10.1016/j.respol.2016.04.004</w:t>
      </w:r>
    </w:p>
    <w:p w14:paraId="55ED8FC7">
      <w:r>
        <w:t xml:space="preserve">Tian, S., &amp; Chang, S. (2020). An agent-based model of household energy consumption. </w:t>
      </w:r>
      <w:r>
        <w:rPr>
          <w:i/>
        </w:rPr>
        <w:t>Journal of Cleaner Production, 242</w:t>
      </w:r>
      <w:r>
        <w:t xml:space="preserve">, 118378. </w:t>
      </w:r>
      <w:r>
        <w:rPr>
          <w:color w:val="0563C1"/>
          <w:u w:val="single"/>
        </w:rPr>
        <w:t>https://doi.org/10.1016/j.jclepro.2019.118378</w:t>
      </w:r>
    </w:p>
    <w:p w14:paraId="0CF1C3E4">
      <w:r>
        <w:t xml:space="preserve">Yue, T., Long, R., Chen, H., Liu, J., Liu, H., &amp; Gu, Y. (2020). Energy-saving behavior of urban residents in China: A multi-agent simulation. </w:t>
      </w:r>
      <w:r>
        <w:rPr>
          <w:i/>
        </w:rPr>
        <w:t>Journal of Cleaner Production, 252</w:t>
      </w:r>
      <w:r>
        <w:t xml:space="preserve">, 119623. </w:t>
      </w:r>
      <w:r>
        <w:rPr>
          <w:color w:val="0563C1"/>
          <w:u w:val="single"/>
        </w:rPr>
        <w:t>https://doi.org/10.1016/j.jclepro.2019.119623</w:t>
      </w:r>
    </w:p>
    <w:sectPr>
      <w:headerReference r:id="rId5" w:type="default"/>
      <w:footerReference r:id="rId6" w:type="default"/>
      <w:pgSz w:w="12240" w:h="15840"/>
      <w:pgMar w:top="1304" w:right="1361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仓耳玄三01简繁 W01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玄三01简繁 W01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AE1A5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C3CC8D">
    <w:pPr>
      <w:pStyle w:val="25"/>
      <w:jc w:val="right"/>
    </w:pPr>
    <w:r>
      <w:rPr>
        <w:color w:val="787878"/>
        <w:sz w:val="16"/>
      </w:rPr>
      <w:t>Policy mix - 居民 ABM 方法报告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FD111C"/>
    <w:rsid w:val="3A7F59F7"/>
    <w:rsid w:val="4A82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48" w:lineRule="auto"/>
      <w:ind w:firstLine="420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5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65F91"/>
      <w:sz w:val="22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0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4949</Words>
  <Characters>6793</Characters>
  <Lines>0</Lines>
  <Paragraphs>0</Paragraphs>
  <TotalTime>8</TotalTime>
  <ScaleCrop>false</ScaleCrop>
  <LinksUpToDate>false</LinksUpToDate>
  <CharactersWithSpaces>7247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汉克克克克克克克</cp:lastModifiedBy>
  <dcterms:modified xsi:type="dcterms:W3CDTF">2026-07-15T08:24:31Z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eyJoZGlkIjoiNmJlMGEwN2ZmZjY4NmI5ZjY1NjAwNGQzZTYyOWQ0ZDgiLCJ1c2VySWQiOiIzNzQyOTQ5MzgifQ==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3E9214EACFB6423AA5897FB0D75F0A32_12</vt:lpwstr>
  </property>
</Properties>
</file>