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C1B7D6">
      <w:pPr>
        <w:rPr>
          <w:rFonts w:ascii="宋体" w:hAnsi="宋体" w:eastAsia="宋体" w:cs="宋体"/>
          <w:i/>
          <w:iCs/>
          <w:sz w:val="32"/>
          <w:szCs w:val="32"/>
        </w:rPr>
      </w:pPr>
      <w:r>
        <w:rPr>
          <w:rFonts w:ascii="宋体" w:hAnsi="宋体" w:eastAsia="宋体" w:cs="宋体"/>
          <w:sz w:val="32"/>
          <w:szCs w:val="32"/>
        </w:rPr>
        <w:t>《</w:t>
      </w:r>
      <w:r>
        <w:rPr>
          <w:rFonts w:ascii="宋体" w:hAnsi="宋体" w:eastAsia="宋体" w:cs="宋体"/>
          <w:sz w:val="24"/>
          <w:szCs w:val="24"/>
        </w:rPr>
        <w:t>多维政策组合如何在极端气候下促进家庭能源结构低碳转型：一项基于 LLM-Agents 的仿真研究</w:t>
      </w:r>
      <w:r>
        <w:rPr>
          <w:rFonts w:ascii="宋体" w:hAnsi="宋体" w:eastAsia="宋体" w:cs="宋体"/>
          <w:sz w:val="32"/>
          <w:szCs w:val="32"/>
        </w:rPr>
        <w:t>》</w:t>
      </w:r>
    </w:p>
    <w:p w14:paraId="22EBBF22">
      <w:pPr>
        <w:rPr>
          <w:rFonts w:ascii="宋体" w:hAnsi="宋体" w:eastAsia="宋体" w:cs="宋体"/>
          <w:i/>
          <w:iCs/>
          <w:sz w:val="24"/>
          <w:szCs w:val="24"/>
        </w:rPr>
      </w:pPr>
      <w:r>
        <w:rPr>
          <w:rFonts w:ascii="Segoe UI" w:hAnsi="Segoe UI" w:eastAsia="Segoe UI" w:cs="Segoe UI"/>
          <w:i w:val="0"/>
          <w:iCs w:val="0"/>
          <w:caps w:val="0"/>
          <w:spacing w:val="0"/>
          <w:sz w:val="16"/>
          <w:szCs w:val="16"/>
          <w:shd w:val="clear" w:fill="FFFFFF"/>
        </w:rPr>
        <w:t>Multidimensional Policy Mixes for Facilitating Low-Carbon Household Energy Transitions Under Extreme Climate: An LLM-Agent-Based Simulation Study</w:t>
      </w:r>
    </w:p>
    <w:p w14:paraId="76692D6A">
      <w:pPr>
        <w:rPr>
          <w:rFonts w:ascii="宋体" w:hAnsi="宋体" w:eastAsia="宋体" w:cs="宋体"/>
          <w:i/>
          <w:iCs/>
          <w:sz w:val="24"/>
          <w:szCs w:val="24"/>
        </w:rPr>
      </w:pPr>
    </w:p>
    <w:p w14:paraId="578BECB1">
      <w:pPr>
        <w:rPr>
          <w:rFonts w:ascii="宋体" w:hAnsi="宋体" w:eastAsia="宋体" w:cs="宋体"/>
          <w:i/>
          <w:iCs/>
          <w:sz w:val="24"/>
          <w:szCs w:val="24"/>
        </w:rPr>
      </w:pPr>
    </w:p>
    <w:p w14:paraId="743E0FE3">
      <w:pPr>
        <w:rPr>
          <w:rFonts w:hint="default" w:ascii="宋体" w:hAnsi="宋体" w:eastAsia="宋体" w:cs="宋体"/>
          <w:i w:val="0"/>
          <w:iCs w:val="0"/>
          <w:sz w:val="24"/>
          <w:szCs w:val="24"/>
        </w:rPr>
      </w:pPr>
      <w:r>
        <w:rPr>
          <w:rFonts w:hint="default" w:ascii="宋体" w:hAnsi="宋体" w:eastAsia="宋体" w:cs="宋体"/>
          <w:i w:val="0"/>
          <w:iCs w:val="0"/>
          <w:sz w:val="24"/>
          <w:szCs w:val="24"/>
        </w:rPr>
        <w:t>作为世界能源消费和碳排放大国之一，中国已成为国家重点战略之一，而提高居民能源效率是其中不可或缺的一部分。因此，中国家庭是否以最高效的方式利用能源，以及家庭能源消耗、能源效率和家庭收入之间的关系，对于政策制定者和实施切实可行的家庭能源效率提升措施至关重要</w:t>
      </w:r>
      <w:r>
        <w:rPr>
          <w:rFonts w:hint="default" w:ascii="宋体" w:hAnsi="宋体" w:eastAsia="宋体" w:cs="宋体"/>
          <w:i w:val="0"/>
          <w:iCs w:val="0"/>
          <w:sz w:val="24"/>
          <w:szCs w:val="24"/>
        </w:rPr>
        <w:fldChar w:fldCharType="begin"/>
      </w:r>
      <w:r>
        <w:rPr>
          <w:rFonts w:hint="eastAsia" w:ascii="宋体" w:hAnsi="宋体" w:eastAsia="宋体" w:cs="宋体"/>
          <w:i w:val="0"/>
          <w:iCs w:val="0"/>
          <w:sz w:val="24"/>
          <w:szCs w:val="24"/>
          <w:lang w:eastAsia="zh-CN"/>
        </w:rPr>
        <w:instrText xml:space="preserve"> ADDIN ZOTERO_ITEM CSL_CITATION {"citationID":"86UValog","properties":{"formattedCitation":"(Zheng et al., 2024)","plainCitation":"(Zheng et al., 2024)","noteIndex":0},"citationItems":[{"id":2425,"uris":["http://zotero.org/users/11769009/items/KJH9FSEJ"],"itemData":{"id":2425,"type":"article-journal","abstract":"In recent decades, China has experienced similar increasing household energy consumption and income trends. However, how household energy efficiency changes and relates to household income remains unclear. Based on the panel stochastic frontier analysis (SFA) model, we find: (1) China's household energy efficiency decreased from 0.917 in 2002 to 0.874 in 2021on average, resulting in growing inefficient energy use from 1779 tons of coal equivalent (tce) in 2002 to 14,773 tce in 2021; (2) household income negatively relates to household energy efficiency, and impacts the distribution of inefficient energy use; (3) household energy efficiency in low-income areas is always the highest and decreases slowly, while that in high-income areas is the lowest and decreases faster; (4) in the low-income region, household survival needs growth with rising income is the main reason for the decline in energy efficiency; in the middle-income group, household survival needs growth and consumption upgrading drives energy efficiency down before and after 2011, respectively; while household consumption upgrading is the driving force for the downward trend of energy efficiency in the high-income regions. Then, corresponding policy implications are proposed.","container-title":"Applied Energy","DOI":"10.1016/j.apenergy.2023.122074","ISSN":"0306-2619","journalAbbreviation":"Applied Energy","page":"122074","source":"ScienceDirect","title":"Household energy consumption, energy efficiency, and household income–Evidence from China","volume":"353","author":[{"family":"Zheng","given":"Jiajia"},{"family":"Dang","given":"Yongjie"},{"family":"Assad","given":"Ullah"}],"issued":{"date-parts":[["2024",1,1]]}}}],"schema":"https://github.com/citation-style-language/schema/raw/master/csl-citation.json"} </w:instrText>
      </w:r>
      <w:r>
        <w:rPr>
          <w:rFonts w:hint="default" w:ascii="宋体" w:hAnsi="宋体" w:eastAsia="宋体" w:cs="宋体"/>
          <w:i w:val="0"/>
          <w:iCs w:val="0"/>
          <w:sz w:val="24"/>
          <w:szCs w:val="24"/>
        </w:rPr>
        <w:fldChar w:fldCharType="separate"/>
      </w:r>
      <w:r>
        <w:rPr>
          <w:rFonts w:hint="eastAsia" w:ascii="宋体" w:hAnsi="宋体" w:eastAsia="宋体" w:cs="宋体"/>
          <w:sz w:val="24"/>
          <w:lang w:eastAsia="zh-CN"/>
        </w:rPr>
        <w:t>(Zheng et al., 2024)</w:t>
      </w:r>
      <w:r>
        <w:rPr>
          <w:rFonts w:hint="default" w:ascii="宋体" w:hAnsi="宋体" w:eastAsia="宋体" w:cs="宋体"/>
          <w:i w:val="0"/>
          <w:iCs w:val="0"/>
          <w:sz w:val="24"/>
          <w:szCs w:val="24"/>
        </w:rPr>
        <w:fldChar w:fldCharType="end"/>
      </w:r>
      <w:r>
        <w:rPr>
          <w:rFonts w:hint="default" w:ascii="宋体" w:hAnsi="宋体" w:eastAsia="宋体" w:cs="宋体"/>
          <w:i w:val="0"/>
          <w:iCs w:val="0"/>
          <w:sz w:val="24"/>
          <w:szCs w:val="24"/>
        </w:rPr>
        <w:t>。</w:t>
      </w:r>
    </w:p>
    <w:p w14:paraId="440E1FC9">
      <w:pPr>
        <w:rPr>
          <w:rFonts w:hint="default" w:ascii="宋体" w:hAnsi="宋体" w:eastAsia="宋体" w:cs="宋体"/>
          <w:i w:val="0"/>
          <w:iCs w:val="0"/>
          <w:sz w:val="24"/>
          <w:szCs w:val="24"/>
        </w:rPr>
      </w:pPr>
    </w:p>
    <w:p w14:paraId="41534626">
      <w:pPr>
        <w:rPr>
          <w:rFonts w:hint="default" w:ascii="宋体" w:hAnsi="宋体" w:eastAsia="宋体" w:cs="宋体"/>
          <w:i/>
          <w:iCs/>
          <w:sz w:val="24"/>
          <w:szCs w:val="24"/>
          <w:lang w:val="en-US" w:eastAsia="zh-CN"/>
        </w:rPr>
      </w:pPr>
      <w:r>
        <w:rPr>
          <w:rFonts w:hint="eastAsia" w:ascii="宋体" w:hAnsi="宋体" w:eastAsia="宋体" w:cs="宋体"/>
          <w:i/>
          <w:iCs/>
          <w:sz w:val="24"/>
          <w:szCs w:val="24"/>
          <w:lang w:val="en-US" w:eastAsia="zh-CN"/>
        </w:rPr>
        <w:t>家庭的决策=f(组合政策，极端气候)</w:t>
      </w:r>
    </w:p>
    <w:p w14:paraId="443434CC">
      <w:pPr>
        <w:rPr>
          <w:rFonts w:ascii="宋体" w:hAnsi="宋体" w:eastAsia="宋体" w:cs="宋体"/>
          <w:i/>
          <w:iCs/>
          <w:sz w:val="24"/>
          <w:szCs w:val="24"/>
        </w:rPr>
      </w:pPr>
    </w:p>
    <w:p w14:paraId="58A53270">
      <w:pPr>
        <w:rPr>
          <w:rFonts w:ascii="宋体" w:hAnsi="宋体" w:eastAsia="宋体" w:cs="宋体"/>
          <w:i/>
          <w:iCs/>
          <w:sz w:val="24"/>
          <w:szCs w:val="24"/>
        </w:rPr>
      </w:pPr>
    </w:p>
    <w:p w14:paraId="5C0967F4">
      <w:pPr>
        <w:rPr>
          <w:rFonts w:ascii="宋体" w:hAnsi="宋体" w:eastAsia="宋体" w:cs="宋体"/>
          <w:sz w:val="24"/>
          <w:szCs w:val="24"/>
        </w:rPr>
      </w:pPr>
      <w:r>
        <w:rPr>
          <w:rFonts w:ascii="宋体" w:hAnsi="宋体" w:eastAsia="宋体" w:cs="宋体"/>
          <w:sz w:val="24"/>
          <w:szCs w:val="24"/>
        </w:rPr>
        <w:t>第一步：构建具有“价值观”的 Agent 社区</w:t>
      </w:r>
    </w:p>
    <w:p w14:paraId="5C35CCDC">
      <w:pPr>
        <w:rPr>
          <w:rFonts w:hint="default" w:ascii="宋体" w:hAnsi="宋体" w:eastAsia="宋体" w:cs="宋体"/>
          <w:sz w:val="24"/>
          <w:szCs w:val="24"/>
          <w:lang w:val="en-US"/>
        </w:rPr>
      </w:pPr>
      <w:r>
        <w:rPr>
          <w:rFonts w:hint="eastAsia" w:ascii="宋体" w:hAnsi="宋体" w:eastAsia="宋体" w:cs="宋体"/>
          <w:i/>
          <w:iCs/>
          <w:sz w:val="24"/>
          <w:szCs w:val="24"/>
          <w:lang w:val="en-US" w:eastAsia="zh-CN"/>
        </w:rPr>
        <w:t>设置不同特质的居民，可以用过</w:t>
      </w:r>
      <w:r>
        <w:rPr>
          <w:rFonts w:hint="eastAsia" w:ascii="宋体" w:hAnsi="宋体" w:eastAsia="宋体" w:cs="宋体"/>
          <w:i/>
          <w:iCs/>
          <w:sz w:val="24"/>
          <w:szCs w:val="24"/>
          <w:highlight w:val="yellow"/>
          <w:lang w:val="en-US" w:eastAsia="zh-CN"/>
        </w:rPr>
        <w:t>问卷调查采样1000名被试，大体询问他们的家庭情况（收入，家庭人数和家庭能源基本使用情况），例如：</w:t>
      </w:r>
    </w:p>
    <w:p w14:paraId="0BF945E1">
      <w:pPr>
        <w:rPr>
          <w:rFonts w:hint="eastAsia" w:ascii="宋体" w:hAnsi="宋体" w:eastAsia="宋体" w:cs="宋体"/>
          <w:i/>
          <w:iCs/>
          <w:sz w:val="24"/>
          <w:szCs w:val="24"/>
          <w:lang w:val="en-US" w:eastAsia="zh-CN"/>
        </w:rPr>
      </w:pPr>
      <w:r>
        <w:rPr>
          <w:rFonts w:hint="eastAsia" w:ascii="宋体" w:hAnsi="宋体" w:eastAsia="宋体" w:cs="宋体"/>
          <w:sz w:val="24"/>
          <w:szCs w:val="24"/>
          <w:lang w:val="en-US" w:eastAsia="zh-CN"/>
        </w:rPr>
        <w:t>将1000名被试的特质形成</w:t>
      </w:r>
      <w:r>
        <w:rPr>
          <w:rFonts w:ascii="宋体" w:hAnsi="宋体" w:eastAsia="宋体" w:cs="宋体"/>
          <w:sz w:val="24"/>
          <w:szCs w:val="24"/>
        </w:rPr>
        <w:t>具有不同</w:t>
      </w:r>
      <w:r>
        <w:rPr>
          <w:rFonts w:ascii="宋体" w:hAnsi="宋体" w:eastAsia="宋体" w:cs="宋体"/>
          <w:b/>
          <w:bCs/>
          <w:sz w:val="24"/>
          <w:szCs w:val="24"/>
        </w:rPr>
        <w:t>心理账户</w:t>
      </w:r>
      <w:r>
        <w:rPr>
          <w:rFonts w:ascii="宋体" w:hAnsi="宋体" w:eastAsia="宋体" w:cs="宋体"/>
          <w:sz w:val="24"/>
          <w:szCs w:val="24"/>
        </w:rPr>
        <w:t>和</w:t>
      </w:r>
      <w:r>
        <w:rPr>
          <w:rFonts w:ascii="宋体" w:hAnsi="宋体" w:eastAsia="宋体" w:cs="宋体"/>
          <w:b/>
          <w:bCs/>
          <w:sz w:val="24"/>
          <w:szCs w:val="24"/>
        </w:rPr>
        <w:t>价值观</w:t>
      </w:r>
      <w:r>
        <w:rPr>
          <w:rFonts w:ascii="宋体" w:hAnsi="宋体" w:eastAsia="宋体" w:cs="宋体"/>
          <w:sz w:val="24"/>
          <w:szCs w:val="24"/>
        </w:rPr>
        <w:t>的 Agents：</w:t>
      </w:r>
    </w:p>
    <w:p w14:paraId="2F7F782F">
      <w:pPr>
        <w:rPr>
          <w:rFonts w:hint="default" w:ascii="宋体" w:hAnsi="宋体" w:eastAsia="宋体" w:cs="宋体"/>
          <w:i/>
          <w:iCs/>
          <w:sz w:val="24"/>
          <w:szCs w:val="24"/>
          <w:lang w:val="en-US" w:eastAsia="zh-CN"/>
        </w:rPr>
      </w:pPr>
      <w:r>
        <w:rPr>
          <w:rFonts w:hint="eastAsia" w:ascii="宋体" w:hAnsi="宋体" w:eastAsia="宋体" w:cs="宋体"/>
          <w:i/>
          <w:iCs/>
          <w:sz w:val="24"/>
          <w:szCs w:val="24"/>
          <w:lang w:val="en-US" w:eastAsia="zh-CN"/>
        </w:rPr>
        <w:t>1.</w:t>
      </w:r>
      <w:r>
        <w:rPr>
          <w:rFonts w:hint="default" w:ascii="宋体" w:hAnsi="宋体" w:eastAsia="宋体" w:cs="宋体"/>
          <w:i/>
          <w:iCs/>
          <w:color w:val="C00000"/>
          <w:sz w:val="24"/>
          <w:szCs w:val="24"/>
          <w:lang w:val="en-US" w:eastAsia="zh-CN"/>
        </w:rPr>
        <w:t>技术尝鲜者</w:t>
      </w:r>
      <w:r>
        <w:rPr>
          <w:rFonts w:hint="default" w:ascii="宋体" w:hAnsi="宋体" w:eastAsia="宋体" w:cs="宋体"/>
          <w:i/>
          <w:iCs/>
          <w:sz w:val="24"/>
          <w:szCs w:val="24"/>
          <w:lang w:val="en-US" w:eastAsia="zh-CN"/>
        </w:rPr>
        <w:t xml:space="preserve"> (Innovators)： 关注环保，对价格不敏感，易受科技新闻影响。</w:t>
      </w:r>
    </w:p>
    <w:p w14:paraId="47130213">
      <w:pPr>
        <w:rPr>
          <w:rFonts w:hint="default" w:ascii="宋体" w:hAnsi="宋体" w:eastAsia="宋体" w:cs="宋体"/>
          <w:i/>
          <w:iCs/>
          <w:sz w:val="24"/>
          <w:szCs w:val="24"/>
          <w:lang w:val="en-US" w:eastAsia="zh-CN"/>
        </w:rPr>
      </w:pPr>
      <w:r>
        <w:rPr>
          <w:rFonts w:hint="eastAsia" w:ascii="宋体" w:hAnsi="宋体" w:eastAsia="宋体" w:cs="宋体"/>
          <w:i/>
          <w:iCs/>
          <w:sz w:val="24"/>
          <w:szCs w:val="24"/>
          <w:lang w:val="en-US" w:eastAsia="zh-CN"/>
        </w:rPr>
        <w:t>2.</w:t>
      </w:r>
      <w:r>
        <w:rPr>
          <w:rFonts w:hint="default" w:ascii="宋体" w:hAnsi="宋体" w:eastAsia="宋体" w:cs="宋体"/>
          <w:i/>
          <w:iCs/>
          <w:color w:val="C00000"/>
          <w:sz w:val="24"/>
          <w:szCs w:val="24"/>
          <w:lang w:val="en-US" w:eastAsia="zh-CN"/>
        </w:rPr>
        <w:t>价格敏感者</w:t>
      </w:r>
      <w:r>
        <w:rPr>
          <w:rFonts w:hint="default" w:ascii="宋体" w:hAnsi="宋体" w:eastAsia="宋体" w:cs="宋体"/>
          <w:i/>
          <w:iCs/>
          <w:sz w:val="24"/>
          <w:szCs w:val="24"/>
          <w:lang w:val="en-US" w:eastAsia="zh-CN"/>
        </w:rPr>
        <w:t xml:space="preserve"> (Pragmatists)： 精打细算，需要计算详细的回报周期，受补贴政策影响大。</w:t>
      </w:r>
    </w:p>
    <w:p w14:paraId="70A0580A">
      <w:pPr>
        <w:rPr>
          <w:rFonts w:hint="eastAsia" w:ascii="宋体" w:hAnsi="宋体" w:eastAsia="宋体" w:cs="宋体"/>
          <w:i/>
          <w:iCs/>
          <w:sz w:val="24"/>
          <w:szCs w:val="24"/>
          <w:highlight w:val="yellow"/>
          <w:lang w:val="en-US" w:eastAsia="zh-CN"/>
        </w:rPr>
      </w:pPr>
      <w:r>
        <w:rPr>
          <w:rFonts w:hint="eastAsia" w:ascii="宋体" w:hAnsi="宋体" w:eastAsia="宋体" w:cs="宋体"/>
          <w:i/>
          <w:iCs/>
          <w:sz w:val="24"/>
          <w:szCs w:val="24"/>
          <w:lang w:val="en-US" w:eastAsia="zh-CN"/>
        </w:rPr>
        <w:t>3.</w:t>
      </w:r>
      <w:r>
        <w:rPr>
          <w:rFonts w:hint="default" w:ascii="宋体" w:hAnsi="宋体" w:eastAsia="宋体" w:cs="宋体"/>
          <w:i/>
          <w:iCs/>
          <w:color w:val="C00000"/>
          <w:sz w:val="24"/>
          <w:szCs w:val="24"/>
          <w:lang w:val="en-US" w:eastAsia="zh-CN"/>
        </w:rPr>
        <w:t>保守主义者</w:t>
      </w:r>
      <w:r>
        <w:rPr>
          <w:rFonts w:hint="default" w:ascii="宋体" w:hAnsi="宋体" w:eastAsia="宋体" w:cs="宋体"/>
          <w:i/>
          <w:iCs/>
          <w:sz w:val="24"/>
          <w:szCs w:val="24"/>
          <w:lang w:val="en-US" w:eastAsia="zh-CN"/>
        </w:rPr>
        <w:t xml:space="preserve"> (Skeptics)： 不信任新技术，担心安全问题，只受强熟人关系（如子女、亲密邻居）影响。</w:t>
      </w:r>
      <w:r>
        <w:rPr>
          <w:rFonts w:hint="default" w:ascii="宋体" w:hAnsi="宋体" w:eastAsia="宋体" w:cs="宋体"/>
          <w:i/>
          <w:iCs/>
          <w:sz w:val="24"/>
          <w:szCs w:val="24"/>
          <w:lang w:val="en-US" w:eastAsia="zh-CN"/>
        </w:rPr>
        <w:br w:type="textWrapping"/>
      </w:r>
      <w:r>
        <w:rPr>
          <w:rFonts w:hint="eastAsia" w:ascii="宋体" w:hAnsi="宋体" w:eastAsia="宋体" w:cs="宋体"/>
          <w:i/>
          <w:iCs/>
          <w:sz w:val="24"/>
          <w:szCs w:val="24"/>
          <w:lang w:val="en-US" w:eastAsia="zh-CN"/>
        </w:rPr>
        <w:t>此外，我还想突出消费水平差异</w:t>
      </w:r>
      <w:r>
        <w:rPr>
          <w:rFonts w:hint="eastAsia" w:ascii="宋体" w:hAnsi="宋体" w:eastAsia="宋体" w:cs="宋体"/>
          <w:i/>
          <w:iCs/>
          <w:sz w:val="24"/>
          <w:szCs w:val="24"/>
          <w:highlight w:val="yellow"/>
          <w:lang w:val="en-US" w:eastAsia="zh-CN"/>
        </w:rPr>
        <w:t>（经济条件分级/预算约束）</w:t>
      </w:r>
    </w:p>
    <w:p w14:paraId="20968ECB">
      <w:pPr>
        <w:rPr>
          <w:rFonts w:ascii="宋体" w:hAnsi="宋体" w:eastAsia="宋体" w:cs="宋体"/>
          <w:i/>
          <w:iCs/>
          <w:sz w:val="24"/>
          <w:szCs w:val="24"/>
        </w:rPr>
      </w:pPr>
    </w:p>
    <w:p w14:paraId="46704F14">
      <w:pPr>
        <w:rPr>
          <w:rFonts w:hint="eastAsia" w:ascii="宋体" w:hAnsi="宋体" w:eastAsia="宋体" w:cs="宋体"/>
          <w:i/>
          <w:iCs/>
          <w:sz w:val="24"/>
          <w:szCs w:val="24"/>
          <w:lang w:val="en-US" w:eastAsia="zh-CN"/>
        </w:rPr>
      </w:pPr>
      <w:r>
        <w:rPr>
          <w:rFonts w:hint="eastAsia" w:ascii="宋体" w:hAnsi="宋体" w:eastAsia="宋体" w:cs="宋体"/>
          <w:i/>
          <w:iCs/>
          <w:sz w:val="24"/>
          <w:szCs w:val="24"/>
          <w:lang w:val="en-US" w:eastAsia="zh-CN"/>
        </w:rPr>
        <w:t>第二步，政策变量设计</w:t>
      </w:r>
    </w:p>
    <w:p w14:paraId="77B7B885">
      <w:pPr>
        <w:rPr>
          <w:rFonts w:ascii="宋体" w:hAnsi="宋体" w:eastAsia="宋体" w:cs="宋体"/>
          <w:color w:val="4874CB" w:themeColor="accent1"/>
          <w:sz w:val="24"/>
          <w:szCs w:val="24"/>
          <w14:textFill>
            <w14:solidFill>
              <w14:schemeClr w14:val="accent1"/>
            </w14:solidFill>
          </w14:textFill>
        </w:rPr>
      </w:pPr>
      <w:r>
        <w:rPr>
          <w:rFonts w:hint="eastAsia" w:ascii="宋体" w:hAnsi="宋体" w:eastAsia="宋体" w:cs="宋体"/>
          <w:color w:val="4874CB" w:themeColor="accent1"/>
          <w:sz w:val="24"/>
          <w:szCs w:val="24"/>
          <w:lang w:val="en-US" w:eastAsia="zh-CN"/>
          <w14:textFill>
            <w14:solidFill>
              <w14:schemeClr w14:val="accent1"/>
            </w14:solidFill>
          </w14:textFill>
        </w:rPr>
        <w:t>维度一</w:t>
      </w:r>
      <w:r>
        <w:rPr>
          <w:rFonts w:ascii="宋体" w:hAnsi="宋体" w:eastAsia="宋体" w:cs="宋体"/>
          <w:color w:val="4874CB" w:themeColor="accent1"/>
          <w:sz w:val="24"/>
          <w:szCs w:val="24"/>
          <w14:textFill>
            <w14:solidFill>
              <w14:schemeClr w14:val="accent1"/>
            </w14:solidFill>
          </w14:textFill>
        </w:rPr>
        <w:t>：经济激励型政策 (Economic Instruments</w:t>
      </w:r>
      <w:r>
        <w:rPr>
          <w:rFonts w:hint="eastAsia" w:ascii="宋体" w:hAnsi="宋体" w:eastAsia="宋体" w:cs="宋体"/>
          <w:color w:val="4874CB" w:themeColor="accent1"/>
          <w:sz w:val="24"/>
          <w:szCs w:val="24"/>
          <w:lang w:val="en-US" w:eastAsia="zh-CN"/>
          <w14:textFill>
            <w14:solidFill>
              <w14:schemeClr w14:val="accent1"/>
            </w14:solidFill>
          </w14:textFill>
        </w:rPr>
        <w:t xml:space="preserve"> </w:t>
      </w:r>
      <w:r>
        <w:rPr>
          <w:rFonts w:ascii="宋体" w:hAnsi="宋体" w:eastAsia="宋体" w:cs="宋体"/>
          <w:color w:val="4874CB" w:themeColor="accent1"/>
          <w:sz w:val="24"/>
          <w:szCs w:val="24"/>
          <w14:textFill>
            <w14:solidFill>
              <w14:schemeClr w14:val="accent1"/>
            </w14:solidFill>
          </w14:textFill>
        </w:rPr>
        <w:t>Policies)</w:t>
      </w:r>
    </w:p>
    <w:p w14:paraId="11E7EACA">
      <w:pPr>
        <w:rPr>
          <w:rFonts w:hint="default" w:ascii="宋体" w:hAnsi="宋体" w:eastAsia="宋体" w:cs="宋体"/>
          <w:color w:val="4874CB" w:themeColor="accent1"/>
          <w:sz w:val="24"/>
          <w:szCs w:val="24"/>
          <w:lang w:val="en-US" w:eastAsia="zh-CN"/>
          <w14:textFill>
            <w14:solidFill>
              <w14:schemeClr w14:val="accent1"/>
            </w14:solidFill>
          </w14:textFill>
        </w:rPr>
      </w:pPr>
      <w:r>
        <w:rPr>
          <w:rFonts w:hint="eastAsia" w:ascii="宋体" w:hAnsi="宋体" w:eastAsia="宋体" w:cs="宋体"/>
          <w:color w:val="4874CB" w:themeColor="accent1"/>
          <w:sz w:val="24"/>
          <w:szCs w:val="24"/>
          <w:lang w:val="en-US" w:eastAsia="zh-CN"/>
          <w14:textFill>
            <w14:solidFill>
              <w14:schemeClr w14:val="accent1"/>
            </w14:solidFill>
          </w14:textFill>
        </w:rPr>
        <w:t>高中低</w:t>
      </w:r>
    </w:p>
    <w:p w14:paraId="639253C4">
      <w:pPr>
        <w:rPr>
          <w:rFonts w:ascii="宋体" w:hAnsi="宋体" w:eastAsia="宋体" w:cs="宋体"/>
          <w:color w:val="4874CB" w:themeColor="accent1"/>
          <w:sz w:val="24"/>
          <w:szCs w:val="24"/>
          <w14:textFill>
            <w14:solidFill>
              <w14:schemeClr w14:val="accent1"/>
            </w14:solidFill>
          </w14:textFill>
        </w:rPr>
      </w:pPr>
      <w:r>
        <w:rPr>
          <w:rFonts w:hint="eastAsia" w:ascii="宋体" w:hAnsi="宋体" w:eastAsia="宋体" w:cs="宋体"/>
          <w:color w:val="4874CB" w:themeColor="accent1"/>
          <w:sz w:val="24"/>
          <w:szCs w:val="24"/>
          <w:lang w:val="en-US" w:eastAsia="zh-CN"/>
          <w14:textFill>
            <w14:solidFill>
              <w14:schemeClr w14:val="accent1"/>
            </w14:solidFill>
          </w14:textFill>
        </w:rPr>
        <w:t>维度二</w:t>
      </w:r>
      <w:r>
        <w:rPr>
          <w:rFonts w:ascii="宋体" w:hAnsi="宋体" w:eastAsia="宋体" w:cs="宋体"/>
          <w:color w:val="4874CB" w:themeColor="accent1"/>
          <w:sz w:val="24"/>
          <w:szCs w:val="24"/>
          <w14:textFill>
            <w14:solidFill>
              <w14:schemeClr w14:val="accent1"/>
            </w14:solidFill>
          </w14:textFill>
        </w:rPr>
        <w:t>：基础设施支持型政策 (Infrastructure-Support Policies)</w:t>
      </w:r>
    </w:p>
    <w:p w14:paraId="5780C3AD">
      <w:pPr>
        <w:rPr>
          <w:rFonts w:hint="eastAsia" w:ascii="宋体" w:hAnsi="宋体" w:eastAsia="宋体" w:cs="宋体"/>
          <w:sz w:val="24"/>
          <w:szCs w:val="24"/>
          <w:lang w:val="en-US" w:eastAsia="zh-CN"/>
        </w:rPr>
      </w:pPr>
    </w:p>
    <w:p w14:paraId="641A38DE">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 低水平（Low）政策特征：</w:t>
      </w:r>
    </w:p>
    <w:p w14:paraId="5368AFD3">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仅有基本电力接入，供电稳定性一般，极端高温/严寒时容易限电/停电。</w:t>
      </w:r>
    </w:p>
    <w:p w14:paraId="4AC9DE09">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居住区缺乏清洁供暖/制冷基础设施：</w:t>
      </w:r>
    </w:p>
    <w:p w14:paraId="404148FA">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没有集中供暖/供冷系统；</w:t>
      </w:r>
    </w:p>
    <w:p w14:paraId="30C94254">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没有“煤改电 / 煤改气”一类的清洁取暖改造。</w:t>
      </w:r>
    </w:p>
    <w:p w14:paraId="10A5A3A8">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社区层面几乎没有分布式可再生能源：</w:t>
      </w:r>
    </w:p>
    <w:p w14:paraId="6C7C006C">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很少有屋顶光伏、社区光伏；</w:t>
      </w:r>
    </w:p>
    <w:p w14:paraId="2B1C364B">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没有配套储能。</w:t>
      </w:r>
    </w:p>
    <w:p w14:paraId="2DF95518">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公共充电桩、共享储能柜很少，仅出现在少数商业区。</w:t>
      </w:r>
    </w:p>
    <w:p w14:paraId="249E3FE8">
      <w:pPr>
        <w:rPr>
          <w:rFonts w:hint="eastAsia" w:ascii="宋体" w:hAnsi="宋体" w:eastAsia="宋体" w:cs="宋体"/>
          <w:sz w:val="24"/>
          <w:szCs w:val="24"/>
          <w:lang w:val="en-US" w:eastAsia="zh-CN"/>
        </w:rPr>
      </w:pPr>
    </w:p>
    <w:p w14:paraId="1EE8BF56">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老旧小区保温差，没有统一的节能改造（外墙保温、节能门窗等）。</w:t>
      </w:r>
    </w:p>
    <w:p w14:paraId="2029A328">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在模型里，这一档可以理解为：即便有经济激励，很多家庭也因为“物理上没条件”而无法完成低碳转型。</w:t>
      </w:r>
    </w:p>
    <w:p w14:paraId="779C8B8D">
      <w:pPr>
        <w:rPr>
          <w:rFonts w:hint="eastAsia" w:ascii="宋体" w:hAnsi="宋体" w:eastAsia="宋体" w:cs="宋体"/>
          <w:sz w:val="24"/>
          <w:szCs w:val="24"/>
          <w:lang w:val="en-US" w:eastAsia="zh-CN"/>
        </w:rPr>
      </w:pPr>
    </w:p>
    <w:p w14:paraId="21575699">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 中水平（Medium）政策特征：</w:t>
      </w:r>
    </w:p>
    <w:p w14:paraId="5222DF36">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供电相对稳定，部分地区在极端天气时有备用电源或微电网试点。</w:t>
      </w:r>
    </w:p>
    <w:p w14:paraId="07DB3322">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有一定比例的小区/社区进行了清洁取暖或制冷改造试点：</w:t>
      </w:r>
    </w:p>
    <w:p w14:paraId="49B950DB">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部分老旧小区完成保温改造；</w:t>
      </w:r>
    </w:p>
    <w:p w14:paraId="19EBAEE4">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一些城市社区有集中供暖或集中供冷。</w:t>
      </w:r>
    </w:p>
    <w:p w14:paraId="22BC7727">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社区级分布式光伏开始铺开：</w:t>
      </w:r>
    </w:p>
    <w:p w14:paraId="281A8C28">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新建小区屋顶光伏较常见；</w:t>
      </w:r>
    </w:p>
    <w:p w14:paraId="1187B46B">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有少量社区级储能站。</w:t>
      </w:r>
    </w:p>
    <w:p w14:paraId="48799FF7">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公共充电桩密度中等，在新建小区和商业区基本可达，但城乡结合部和农村较弱。</w:t>
      </w:r>
    </w:p>
    <w:p w14:paraId="175A72C0">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针对保障房、公租房或重点低收入社区，开始有有限规模的“整小区节能改造工程”，但覆盖率不高。</w:t>
      </w:r>
    </w:p>
    <w:p w14:paraId="5BC4ED50">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模型含义：基础设施对低碳选择形成“部分约束”，但通过经济激励可以撬动一部分家庭转型，尤其是中高收入家庭和基础设施覆盖区域。</w:t>
      </w:r>
    </w:p>
    <w:p w14:paraId="56514B42">
      <w:pPr>
        <w:rPr>
          <w:rFonts w:hint="eastAsia" w:ascii="宋体" w:hAnsi="宋体" w:eastAsia="宋体" w:cs="宋体"/>
          <w:sz w:val="24"/>
          <w:szCs w:val="24"/>
          <w:lang w:val="en-US" w:eastAsia="zh-CN"/>
        </w:rPr>
      </w:pPr>
    </w:p>
    <w:p w14:paraId="5C5E69C6">
      <w:pPr>
        <w:rPr>
          <w:rFonts w:hint="eastAsia" w:ascii="宋体" w:hAnsi="宋体" w:eastAsia="宋体" w:cs="宋体"/>
          <w:sz w:val="24"/>
          <w:szCs w:val="24"/>
          <w:lang w:val="en-US" w:eastAsia="zh-CN"/>
        </w:rPr>
      </w:pPr>
    </w:p>
    <w:p w14:paraId="45BE3160">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 高水平（High）政策特征：</w:t>
      </w:r>
    </w:p>
    <w:p w14:paraId="3FCC77E1">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供电高度可靠，极端天气下有完善的应急电源、微电网和储能系统，保障居民基本用能。</w:t>
      </w:r>
    </w:p>
    <w:p w14:paraId="730F207A">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广泛铺开的清洁取暖/制冷基础设施：</w:t>
      </w:r>
    </w:p>
    <w:p w14:paraId="1542086E">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大范围“煤改电/煤改气”；</w:t>
      </w:r>
    </w:p>
    <w:p w14:paraId="5AF28F55">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多数小区完成建筑节能改造（外墙保温、节能门窗、屋顶隔热等）；</w:t>
      </w:r>
    </w:p>
    <w:p w14:paraId="598AA9A4">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热带/亚热带地区有高效集中供冷 / 区域冷站。</w:t>
      </w:r>
    </w:p>
    <w:p w14:paraId="044DB629">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社区级可再生能源普及：</w:t>
      </w:r>
    </w:p>
    <w:p w14:paraId="27285175">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屋顶光伏 + 社区储能成为新建/改造小区标配；</w:t>
      </w:r>
    </w:p>
    <w:p w14:paraId="1172FBC4">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农村有“户用光伏 + 小储能 + 电采暖/制冷”的组合。</w:t>
      </w:r>
    </w:p>
    <w:p w14:paraId="3C87BA26">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公共充电与共享设施密度高：</w:t>
      </w:r>
    </w:p>
    <w:p w14:paraId="1809365E">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居住区、办公区、公共停车场广泛布设充电桩；</w:t>
      </w:r>
    </w:p>
    <w:p w14:paraId="26CC86DC">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社区内有共享充电/换电设施。</w:t>
      </w:r>
    </w:p>
    <w:p w14:paraId="15C58679">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明确的“公平导向”基础设施建设**：</w:t>
      </w:r>
    </w:p>
    <w:p w14:paraId="4C482441">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优先在低收入社区、农村和老旧小区推进节能改造和清洁能源设施；</w:t>
      </w:r>
    </w:p>
    <w:p w14:paraId="0C33FF4E">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保障房、公租房项目要求同步配套低碳基础设施。</w:t>
      </w:r>
    </w:p>
    <w:p w14:paraId="2B8C15A4">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模型含义：基础设施不再是主要约束，低碳转型的差异更多取决于经济激励力度和分配方式（是否照顾到低收入家庭）</w:t>
      </w:r>
    </w:p>
    <w:p w14:paraId="5383444E">
      <w:pPr>
        <w:rPr>
          <w:rFonts w:hint="eastAsia" w:ascii="宋体" w:hAnsi="宋体" w:eastAsia="宋体" w:cs="宋体"/>
          <w:sz w:val="24"/>
          <w:szCs w:val="24"/>
          <w:lang w:val="en-US" w:eastAsia="zh-CN"/>
        </w:rPr>
      </w:pPr>
    </w:p>
    <w:p w14:paraId="3A723622">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共9组实验：</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129"/>
        <w:gridCol w:w="2130"/>
        <w:gridCol w:w="2130"/>
      </w:tblGrid>
      <w:tr w14:paraId="4641D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29" w:type="dxa"/>
          </w:tcPr>
          <w:p w14:paraId="1EA32C12">
            <w:pPr>
              <w:rPr>
                <w:rFonts w:hint="default" w:ascii="宋体" w:hAnsi="宋体" w:eastAsia="宋体" w:cs="宋体"/>
                <w:i/>
                <w:iCs/>
                <w:sz w:val="24"/>
                <w:szCs w:val="24"/>
                <w:vertAlign w:val="baseline"/>
                <w:lang w:val="en-US" w:eastAsia="zh-CN"/>
              </w:rPr>
            </w:pPr>
            <w:r>
              <w:rPr>
                <w:rFonts w:hint="eastAsia" w:ascii="宋体" w:hAnsi="宋体" w:eastAsia="宋体" w:cs="宋体"/>
                <w:i/>
                <w:iCs/>
                <w:sz w:val="24"/>
                <w:szCs w:val="24"/>
                <w:vertAlign w:val="baseline"/>
                <w:lang w:val="en-US" w:eastAsia="zh-CN"/>
              </w:rPr>
              <w:t>实验组</w:t>
            </w:r>
          </w:p>
        </w:tc>
        <w:tc>
          <w:tcPr>
            <w:tcW w:w="2130" w:type="dxa"/>
          </w:tcPr>
          <w:p w14:paraId="6D2ED83A">
            <w:pPr>
              <w:rPr>
                <w:rFonts w:hint="default" w:ascii="宋体" w:hAnsi="宋体" w:eastAsia="宋体" w:cs="宋体"/>
                <w:i/>
                <w:iCs/>
                <w:sz w:val="24"/>
                <w:szCs w:val="24"/>
                <w:vertAlign w:val="baseline"/>
                <w:lang w:val="en-US" w:eastAsia="zh-CN"/>
              </w:rPr>
            </w:pPr>
            <w:r>
              <w:rPr>
                <w:rFonts w:ascii="宋体" w:hAnsi="宋体" w:eastAsia="宋体" w:cs="宋体"/>
                <w:sz w:val="24"/>
                <w:szCs w:val="24"/>
              </w:rPr>
              <w:t>经济激励</w:t>
            </w:r>
          </w:p>
        </w:tc>
        <w:tc>
          <w:tcPr>
            <w:tcW w:w="2130" w:type="dxa"/>
          </w:tcPr>
          <w:p w14:paraId="621C43DB">
            <w:pPr>
              <w:rPr>
                <w:rFonts w:hint="default" w:ascii="宋体" w:hAnsi="宋体" w:eastAsia="宋体" w:cs="宋体"/>
                <w:i/>
                <w:iCs/>
                <w:sz w:val="24"/>
                <w:szCs w:val="24"/>
                <w:vertAlign w:val="baseline"/>
                <w:lang w:val="en-US" w:eastAsia="zh-CN"/>
              </w:rPr>
            </w:pPr>
            <w:r>
              <w:rPr>
                <w:rFonts w:hint="default" w:ascii="宋体" w:hAnsi="宋体" w:eastAsia="宋体" w:cs="宋体"/>
                <w:i/>
                <w:iCs/>
                <w:sz w:val="24"/>
                <w:szCs w:val="24"/>
                <w:vertAlign w:val="baseline"/>
                <w:lang w:val="en-US" w:eastAsia="zh-CN"/>
              </w:rPr>
              <w:t>规制约束</w:t>
            </w:r>
          </w:p>
        </w:tc>
      </w:tr>
      <w:tr w14:paraId="298B1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29" w:type="dxa"/>
          </w:tcPr>
          <w:p w14:paraId="61F63256">
            <w:pPr>
              <w:rPr>
                <w:rFonts w:hint="default" w:ascii="宋体" w:hAnsi="宋体" w:eastAsia="宋体" w:cs="宋体"/>
                <w:i/>
                <w:iCs/>
                <w:sz w:val="24"/>
                <w:szCs w:val="24"/>
                <w:vertAlign w:val="baseline"/>
                <w:lang w:val="en-US" w:eastAsia="zh-CN"/>
              </w:rPr>
            </w:pPr>
            <w:r>
              <w:rPr>
                <w:rFonts w:hint="eastAsia" w:ascii="宋体" w:hAnsi="宋体" w:eastAsia="宋体" w:cs="宋体"/>
                <w:i/>
                <w:iCs/>
                <w:sz w:val="24"/>
                <w:szCs w:val="24"/>
                <w:vertAlign w:val="baseline"/>
                <w:lang w:val="en-US" w:eastAsia="zh-CN"/>
              </w:rPr>
              <w:t>RUN 1</w:t>
            </w:r>
          </w:p>
        </w:tc>
        <w:tc>
          <w:tcPr>
            <w:tcW w:w="2130" w:type="dxa"/>
          </w:tcPr>
          <w:p w14:paraId="5D3120C4">
            <w:pPr>
              <w:rPr>
                <w:rFonts w:hint="default" w:ascii="宋体" w:hAnsi="宋体" w:eastAsia="宋体" w:cs="宋体"/>
                <w:i/>
                <w:iCs/>
                <w:sz w:val="24"/>
                <w:szCs w:val="24"/>
                <w:vertAlign w:val="baseline"/>
                <w:lang w:val="en-US" w:eastAsia="zh-CN"/>
              </w:rPr>
            </w:pPr>
            <w:r>
              <w:rPr>
                <w:rFonts w:hint="eastAsia" w:ascii="宋体" w:hAnsi="宋体" w:eastAsia="宋体" w:cs="宋体"/>
                <w:i/>
                <w:iCs/>
                <w:sz w:val="24"/>
                <w:szCs w:val="24"/>
                <w:vertAlign w:val="baseline"/>
                <w:lang w:val="en-US" w:eastAsia="zh-CN"/>
              </w:rPr>
              <w:t>Low</w:t>
            </w:r>
          </w:p>
        </w:tc>
        <w:tc>
          <w:tcPr>
            <w:tcW w:w="2130" w:type="dxa"/>
          </w:tcPr>
          <w:p w14:paraId="0350D23E">
            <w:pPr>
              <w:rPr>
                <w:rFonts w:hint="default" w:ascii="宋体" w:hAnsi="宋体" w:eastAsia="宋体" w:cs="宋体"/>
                <w:i/>
                <w:iCs/>
                <w:sz w:val="24"/>
                <w:szCs w:val="24"/>
                <w:vertAlign w:val="baseline"/>
                <w:lang w:val="en-US" w:eastAsia="zh-CN"/>
              </w:rPr>
            </w:pPr>
            <w:r>
              <w:rPr>
                <w:rFonts w:hint="eastAsia" w:ascii="宋体" w:hAnsi="宋体" w:eastAsia="宋体" w:cs="宋体"/>
                <w:i/>
                <w:iCs/>
                <w:sz w:val="24"/>
                <w:szCs w:val="24"/>
                <w:vertAlign w:val="baseline"/>
                <w:lang w:val="en-US" w:eastAsia="zh-CN"/>
              </w:rPr>
              <w:t>Low</w:t>
            </w:r>
          </w:p>
        </w:tc>
      </w:tr>
      <w:tr w14:paraId="124E9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29" w:type="dxa"/>
          </w:tcPr>
          <w:p w14:paraId="36F8F3B7">
            <w:pPr>
              <w:rPr>
                <w:rFonts w:hint="default" w:ascii="宋体" w:hAnsi="宋体" w:eastAsia="宋体" w:cs="宋体"/>
                <w:i/>
                <w:iCs/>
                <w:sz w:val="24"/>
                <w:szCs w:val="24"/>
                <w:vertAlign w:val="baseline"/>
                <w:lang w:val="en-US" w:eastAsia="zh-CN"/>
              </w:rPr>
            </w:pPr>
            <w:r>
              <w:rPr>
                <w:rFonts w:hint="eastAsia" w:ascii="宋体" w:hAnsi="宋体" w:eastAsia="宋体" w:cs="宋体"/>
                <w:i/>
                <w:iCs/>
                <w:sz w:val="24"/>
                <w:szCs w:val="24"/>
                <w:vertAlign w:val="baseline"/>
                <w:lang w:val="en-US" w:eastAsia="zh-CN"/>
              </w:rPr>
              <w:t>RUN 2</w:t>
            </w:r>
          </w:p>
        </w:tc>
        <w:tc>
          <w:tcPr>
            <w:tcW w:w="2130" w:type="dxa"/>
          </w:tcPr>
          <w:p w14:paraId="1E6D4DCD">
            <w:pPr>
              <w:rPr>
                <w:rFonts w:hint="default" w:ascii="宋体" w:hAnsi="宋体" w:eastAsia="宋体" w:cs="宋体"/>
                <w:i/>
                <w:iCs/>
                <w:sz w:val="24"/>
                <w:szCs w:val="24"/>
                <w:vertAlign w:val="baseline"/>
                <w:lang w:val="en-US" w:eastAsia="zh-CN"/>
              </w:rPr>
            </w:pPr>
            <w:r>
              <w:rPr>
                <w:rFonts w:hint="eastAsia" w:ascii="宋体" w:hAnsi="宋体" w:eastAsia="宋体" w:cs="宋体"/>
                <w:i/>
                <w:iCs/>
                <w:sz w:val="24"/>
                <w:szCs w:val="24"/>
                <w:vertAlign w:val="baseline"/>
                <w:lang w:val="en-US" w:eastAsia="zh-CN"/>
              </w:rPr>
              <w:t>Low</w:t>
            </w:r>
          </w:p>
        </w:tc>
        <w:tc>
          <w:tcPr>
            <w:tcW w:w="2130" w:type="dxa"/>
          </w:tcPr>
          <w:p w14:paraId="6E17813E">
            <w:pPr>
              <w:rPr>
                <w:rFonts w:hint="default" w:ascii="宋体" w:hAnsi="宋体" w:eastAsia="宋体" w:cs="宋体"/>
                <w:i/>
                <w:iCs/>
                <w:sz w:val="24"/>
                <w:szCs w:val="24"/>
                <w:vertAlign w:val="baseline"/>
                <w:lang w:val="en-US" w:eastAsia="zh-CN"/>
              </w:rPr>
            </w:pPr>
            <w:r>
              <w:rPr>
                <w:rFonts w:hint="eastAsia" w:ascii="宋体" w:hAnsi="宋体" w:eastAsia="宋体" w:cs="宋体"/>
                <w:i/>
                <w:iCs/>
                <w:sz w:val="24"/>
                <w:szCs w:val="24"/>
                <w:vertAlign w:val="baseline"/>
                <w:lang w:val="en-US" w:eastAsia="zh-CN"/>
              </w:rPr>
              <w:t>Medium</w:t>
            </w:r>
          </w:p>
        </w:tc>
      </w:tr>
      <w:tr w14:paraId="63856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29" w:type="dxa"/>
          </w:tcPr>
          <w:p w14:paraId="379C5A13">
            <w:pPr>
              <w:rPr>
                <w:rFonts w:hint="default" w:ascii="宋体" w:hAnsi="宋体" w:eastAsia="宋体" w:cs="宋体"/>
                <w:i/>
                <w:iCs/>
                <w:sz w:val="24"/>
                <w:szCs w:val="24"/>
                <w:vertAlign w:val="baseline"/>
                <w:lang w:val="en-US" w:eastAsia="zh-CN"/>
              </w:rPr>
            </w:pPr>
            <w:r>
              <w:rPr>
                <w:rFonts w:hint="eastAsia" w:ascii="宋体" w:hAnsi="宋体" w:eastAsia="宋体" w:cs="宋体"/>
                <w:i/>
                <w:iCs/>
                <w:sz w:val="24"/>
                <w:szCs w:val="24"/>
                <w:vertAlign w:val="baseline"/>
                <w:lang w:val="en-US" w:eastAsia="zh-CN"/>
              </w:rPr>
              <w:t>RUN 3</w:t>
            </w:r>
          </w:p>
        </w:tc>
        <w:tc>
          <w:tcPr>
            <w:tcW w:w="2130" w:type="dxa"/>
          </w:tcPr>
          <w:p w14:paraId="6FD25FFD">
            <w:pPr>
              <w:rPr>
                <w:rFonts w:hint="default" w:ascii="宋体" w:hAnsi="宋体" w:eastAsia="宋体" w:cs="宋体"/>
                <w:i/>
                <w:iCs/>
                <w:sz w:val="24"/>
                <w:szCs w:val="24"/>
                <w:vertAlign w:val="baseline"/>
                <w:lang w:val="en-US" w:eastAsia="zh-CN"/>
              </w:rPr>
            </w:pPr>
            <w:r>
              <w:rPr>
                <w:rFonts w:hint="eastAsia" w:ascii="宋体" w:hAnsi="宋体" w:eastAsia="宋体" w:cs="宋体"/>
                <w:i/>
                <w:iCs/>
                <w:sz w:val="24"/>
                <w:szCs w:val="24"/>
                <w:vertAlign w:val="baseline"/>
                <w:lang w:val="en-US" w:eastAsia="zh-CN"/>
              </w:rPr>
              <w:t>Low</w:t>
            </w:r>
          </w:p>
        </w:tc>
        <w:tc>
          <w:tcPr>
            <w:tcW w:w="2130" w:type="dxa"/>
          </w:tcPr>
          <w:p w14:paraId="17D286DD">
            <w:pPr>
              <w:rPr>
                <w:rFonts w:hint="default" w:ascii="宋体" w:hAnsi="宋体" w:eastAsia="宋体" w:cs="宋体"/>
                <w:i/>
                <w:iCs/>
                <w:sz w:val="24"/>
                <w:szCs w:val="24"/>
                <w:vertAlign w:val="baseline"/>
                <w:lang w:val="en-US" w:eastAsia="zh-CN"/>
              </w:rPr>
            </w:pPr>
            <w:r>
              <w:rPr>
                <w:rFonts w:hint="eastAsia" w:ascii="宋体" w:hAnsi="宋体" w:eastAsia="宋体" w:cs="宋体"/>
                <w:i/>
                <w:iCs/>
                <w:sz w:val="24"/>
                <w:szCs w:val="24"/>
                <w:vertAlign w:val="baseline"/>
                <w:lang w:val="en-US" w:eastAsia="zh-CN"/>
              </w:rPr>
              <w:t>High</w:t>
            </w:r>
          </w:p>
        </w:tc>
      </w:tr>
      <w:tr w14:paraId="53DA53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29" w:type="dxa"/>
          </w:tcPr>
          <w:p w14:paraId="4CC71623">
            <w:pPr>
              <w:rPr>
                <w:rFonts w:hint="default" w:ascii="宋体" w:hAnsi="宋体" w:eastAsia="宋体" w:cs="宋体"/>
                <w:i/>
                <w:iCs/>
                <w:sz w:val="24"/>
                <w:szCs w:val="24"/>
                <w:vertAlign w:val="baseline"/>
                <w:lang w:val="en-US" w:eastAsia="zh-CN"/>
              </w:rPr>
            </w:pPr>
            <w:r>
              <w:rPr>
                <w:rFonts w:hint="eastAsia" w:ascii="宋体" w:hAnsi="宋体" w:eastAsia="宋体" w:cs="宋体"/>
                <w:i/>
                <w:iCs/>
                <w:sz w:val="24"/>
                <w:szCs w:val="24"/>
                <w:vertAlign w:val="baseline"/>
                <w:lang w:val="en-US" w:eastAsia="zh-CN"/>
              </w:rPr>
              <w:t>RUN 4</w:t>
            </w:r>
          </w:p>
        </w:tc>
        <w:tc>
          <w:tcPr>
            <w:tcW w:w="2130" w:type="dxa"/>
          </w:tcPr>
          <w:p w14:paraId="48C391CC">
            <w:pPr>
              <w:rPr>
                <w:rFonts w:hint="default" w:ascii="宋体" w:hAnsi="宋体" w:eastAsia="宋体" w:cs="宋体"/>
                <w:i/>
                <w:iCs/>
                <w:sz w:val="24"/>
                <w:szCs w:val="24"/>
                <w:vertAlign w:val="baseline"/>
                <w:lang w:val="en-US" w:eastAsia="zh-CN"/>
              </w:rPr>
            </w:pPr>
            <w:r>
              <w:rPr>
                <w:rFonts w:hint="eastAsia" w:ascii="宋体" w:hAnsi="宋体" w:eastAsia="宋体" w:cs="宋体"/>
                <w:i/>
                <w:iCs/>
                <w:sz w:val="24"/>
                <w:szCs w:val="24"/>
                <w:vertAlign w:val="baseline"/>
                <w:lang w:val="en-US" w:eastAsia="zh-CN"/>
              </w:rPr>
              <w:t>Medium</w:t>
            </w:r>
          </w:p>
        </w:tc>
        <w:tc>
          <w:tcPr>
            <w:tcW w:w="2130" w:type="dxa"/>
            <w:vAlign w:val="top"/>
          </w:tcPr>
          <w:p w14:paraId="5C9D8ECB">
            <w:pPr>
              <w:rPr>
                <w:rFonts w:hint="default" w:ascii="宋体" w:hAnsi="宋体" w:eastAsia="宋体" w:cs="宋体"/>
                <w:i/>
                <w:iCs/>
                <w:sz w:val="24"/>
                <w:szCs w:val="24"/>
                <w:vertAlign w:val="baseline"/>
                <w:lang w:val="en-US" w:eastAsia="zh-CN"/>
              </w:rPr>
            </w:pPr>
            <w:r>
              <w:rPr>
                <w:rFonts w:hint="eastAsia" w:ascii="宋体" w:hAnsi="宋体" w:eastAsia="宋体" w:cs="宋体"/>
                <w:i/>
                <w:iCs/>
                <w:sz w:val="24"/>
                <w:szCs w:val="24"/>
                <w:vertAlign w:val="baseline"/>
                <w:lang w:val="en-US" w:eastAsia="zh-CN"/>
              </w:rPr>
              <w:t>Low</w:t>
            </w:r>
          </w:p>
        </w:tc>
      </w:tr>
      <w:tr w14:paraId="084D5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29" w:type="dxa"/>
          </w:tcPr>
          <w:p w14:paraId="72EBBB5F">
            <w:pPr>
              <w:rPr>
                <w:rFonts w:hint="default" w:ascii="宋体" w:hAnsi="宋体" w:eastAsia="宋体" w:cs="宋体"/>
                <w:i/>
                <w:iCs/>
                <w:sz w:val="24"/>
                <w:szCs w:val="24"/>
                <w:vertAlign w:val="baseline"/>
                <w:lang w:val="en-US" w:eastAsia="zh-CN"/>
              </w:rPr>
            </w:pPr>
            <w:r>
              <w:rPr>
                <w:rFonts w:hint="eastAsia" w:ascii="宋体" w:hAnsi="宋体" w:eastAsia="宋体" w:cs="宋体"/>
                <w:i/>
                <w:iCs/>
                <w:sz w:val="24"/>
                <w:szCs w:val="24"/>
                <w:vertAlign w:val="baseline"/>
                <w:lang w:val="en-US" w:eastAsia="zh-CN"/>
              </w:rPr>
              <w:t>RUN 5</w:t>
            </w:r>
          </w:p>
        </w:tc>
        <w:tc>
          <w:tcPr>
            <w:tcW w:w="2130" w:type="dxa"/>
          </w:tcPr>
          <w:p w14:paraId="7FB46F42">
            <w:pPr>
              <w:rPr>
                <w:rFonts w:hint="default" w:ascii="宋体" w:hAnsi="宋体" w:eastAsia="宋体" w:cs="宋体"/>
                <w:i/>
                <w:iCs/>
                <w:sz w:val="24"/>
                <w:szCs w:val="24"/>
                <w:vertAlign w:val="baseline"/>
                <w:lang w:val="en-US" w:eastAsia="zh-CN"/>
              </w:rPr>
            </w:pPr>
            <w:r>
              <w:rPr>
                <w:rFonts w:hint="eastAsia" w:ascii="宋体" w:hAnsi="宋体" w:eastAsia="宋体" w:cs="宋体"/>
                <w:i/>
                <w:iCs/>
                <w:sz w:val="24"/>
                <w:szCs w:val="24"/>
                <w:vertAlign w:val="baseline"/>
                <w:lang w:val="en-US" w:eastAsia="zh-CN"/>
              </w:rPr>
              <w:t>Medium</w:t>
            </w:r>
          </w:p>
        </w:tc>
        <w:tc>
          <w:tcPr>
            <w:tcW w:w="2130" w:type="dxa"/>
            <w:vAlign w:val="top"/>
          </w:tcPr>
          <w:p w14:paraId="3E5884C1">
            <w:pPr>
              <w:rPr>
                <w:rFonts w:hint="default" w:ascii="宋体" w:hAnsi="宋体" w:eastAsia="宋体" w:cs="宋体"/>
                <w:i/>
                <w:iCs/>
                <w:sz w:val="24"/>
                <w:szCs w:val="24"/>
                <w:vertAlign w:val="baseline"/>
                <w:lang w:val="en-US" w:eastAsia="zh-CN"/>
              </w:rPr>
            </w:pPr>
            <w:r>
              <w:rPr>
                <w:rFonts w:hint="eastAsia" w:ascii="宋体" w:hAnsi="宋体" w:eastAsia="宋体" w:cs="宋体"/>
                <w:i/>
                <w:iCs/>
                <w:sz w:val="24"/>
                <w:szCs w:val="24"/>
                <w:vertAlign w:val="baseline"/>
                <w:lang w:val="en-US" w:eastAsia="zh-CN"/>
              </w:rPr>
              <w:t>Medium</w:t>
            </w:r>
          </w:p>
        </w:tc>
      </w:tr>
      <w:tr w14:paraId="57A8F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29" w:type="dxa"/>
          </w:tcPr>
          <w:p w14:paraId="65B9A337">
            <w:pPr>
              <w:rPr>
                <w:rFonts w:hint="default" w:ascii="宋体" w:hAnsi="宋体" w:eastAsia="宋体" w:cs="宋体"/>
                <w:i/>
                <w:iCs/>
                <w:sz w:val="24"/>
                <w:szCs w:val="24"/>
                <w:vertAlign w:val="baseline"/>
                <w:lang w:val="en-US" w:eastAsia="zh-CN"/>
              </w:rPr>
            </w:pPr>
            <w:r>
              <w:rPr>
                <w:rFonts w:hint="eastAsia" w:ascii="宋体" w:hAnsi="宋体" w:eastAsia="宋体" w:cs="宋体"/>
                <w:i/>
                <w:iCs/>
                <w:sz w:val="24"/>
                <w:szCs w:val="24"/>
                <w:vertAlign w:val="baseline"/>
                <w:lang w:val="en-US" w:eastAsia="zh-CN"/>
              </w:rPr>
              <w:t>RUN 6</w:t>
            </w:r>
          </w:p>
        </w:tc>
        <w:tc>
          <w:tcPr>
            <w:tcW w:w="2130" w:type="dxa"/>
          </w:tcPr>
          <w:p w14:paraId="24CAE6AD">
            <w:pPr>
              <w:rPr>
                <w:rFonts w:hint="default" w:ascii="宋体" w:hAnsi="宋体" w:eastAsia="宋体" w:cs="宋体"/>
                <w:i/>
                <w:iCs/>
                <w:sz w:val="24"/>
                <w:szCs w:val="24"/>
                <w:vertAlign w:val="baseline"/>
                <w:lang w:val="en-US" w:eastAsia="zh-CN"/>
              </w:rPr>
            </w:pPr>
            <w:r>
              <w:rPr>
                <w:rFonts w:hint="eastAsia" w:ascii="宋体" w:hAnsi="宋体" w:eastAsia="宋体" w:cs="宋体"/>
                <w:i/>
                <w:iCs/>
                <w:sz w:val="24"/>
                <w:szCs w:val="24"/>
                <w:vertAlign w:val="baseline"/>
                <w:lang w:val="en-US" w:eastAsia="zh-CN"/>
              </w:rPr>
              <w:t>Medium</w:t>
            </w:r>
          </w:p>
        </w:tc>
        <w:tc>
          <w:tcPr>
            <w:tcW w:w="2130" w:type="dxa"/>
            <w:vAlign w:val="top"/>
          </w:tcPr>
          <w:p w14:paraId="2053E0D5">
            <w:pPr>
              <w:rPr>
                <w:rFonts w:hint="default" w:ascii="宋体" w:hAnsi="宋体" w:eastAsia="宋体" w:cs="宋体"/>
                <w:i/>
                <w:iCs/>
                <w:sz w:val="24"/>
                <w:szCs w:val="24"/>
                <w:vertAlign w:val="baseline"/>
                <w:lang w:val="en-US" w:eastAsia="zh-CN"/>
              </w:rPr>
            </w:pPr>
            <w:r>
              <w:rPr>
                <w:rFonts w:hint="eastAsia" w:ascii="宋体" w:hAnsi="宋体" w:eastAsia="宋体" w:cs="宋体"/>
                <w:i/>
                <w:iCs/>
                <w:sz w:val="24"/>
                <w:szCs w:val="24"/>
                <w:vertAlign w:val="baseline"/>
                <w:lang w:val="en-US" w:eastAsia="zh-CN"/>
              </w:rPr>
              <w:t>High</w:t>
            </w:r>
          </w:p>
        </w:tc>
      </w:tr>
      <w:tr w14:paraId="44968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29" w:type="dxa"/>
          </w:tcPr>
          <w:p w14:paraId="35C9F773">
            <w:pPr>
              <w:rPr>
                <w:rFonts w:hint="default" w:ascii="宋体" w:hAnsi="宋体" w:eastAsia="宋体" w:cs="宋体"/>
                <w:i/>
                <w:iCs/>
                <w:sz w:val="24"/>
                <w:szCs w:val="24"/>
                <w:vertAlign w:val="baseline"/>
                <w:lang w:val="en-US" w:eastAsia="zh-CN"/>
              </w:rPr>
            </w:pPr>
            <w:r>
              <w:rPr>
                <w:rFonts w:hint="eastAsia" w:ascii="宋体" w:hAnsi="宋体" w:eastAsia="宋体" w:cs="宋体"/>
                <w:i/>
                <w:iCs/>
                <w:sz w:val="24"/>
                <w:szCs w:val="24"/>
                <w:vertAlign w:val="baseline"/>
                <w:lang w:val="en-US" w:eastAsia="zh-CN"/>
              </w:rPr>
              <w:t>RUN 7</w:t>
            </w:r>
          </w:p>
        </w:tc>
        <w:tc>
          <w:tcPr>
            <w:tcW w:w="2130" w:type="dxa"/>
          </w:tcPr>
          <w:p w14:paraId="3527015F">
            <w:pPr>
              <w:rPr>
                <w:rFonts w:hint="eastAsia" w:ascii="宋体" w:hAnsi="宋体" w:eastAsia="宋体" w:cs="宋体"/>
                <w:i/>
                <w:iCs/>
                <w:sz w:val="24"/>
                <w:szCs w:val="24"/>
                <w:vertAlign w:val="baseline"/>
                <w:lang w:val="en-US" w:eastAsia="zh-CN"/>
              </w:rPr>
            </w:pPr>
            <w:r>
              <w:rPr>
                <w:rFonts w:hint="eastAsia" w:ascii="宋体" w:hAnsi="宋体" w:eastAsia="宋体" w:cs="宋体"/>
                <w:i/>
                <w:iCs/>
                <w:sz w:val="24"/>
                <w:szCs w:val="24"/>
                <w:vertAlign w:val="baseline"/>
                <w:lang w:val="en-US" w:eastAsia="zh-CN"/>
              </w:rPr>
              <w:t>High</w:t>
            </w:r>
          </w:p>
        </w:tc>
        <w:tc>
          <w:tcPr>
            <w:tcW w:w="2130" w:type="dxa"/>
            <w:vAlign w:val="top"/>
          </w:tcPr>
          <w:p w14:paraId="2FD4EFF5">
            <w:pPr>
              <w:rPr>
                <w:rFonts w:hint="eastAsia" w:ascii="宋体" w:hAnsi="宋体" w:eastAsia="宋体" w:cs="宋体"/>
                <w:i/>
                <w:iCs/>
                <w:sz w:val="24"/>
                <w:szCs w:val="24"/>
                <w:vertAlign w:val="baseline"/>
                <w:lang w:val="en-US" w:eastAsia="zh-CN"/>
              </w:rPr>
            </w:pPr>
            <w:r>
              <w:rPr>
                <w:rFonts w:hint="eastAsia" w:ascii="宋体" w:hAnsi="宋体" w:eastAsia="宋体" w:cs="宋体"/>
                <w:i/>
                <w:iCs/>
                <w:sz w:val="24"/>
                <w:szCs w:val="24"/>
                <w:vertAlign w:val="baseline"/>
                <w:lang w:val="en-US" w:eastAsia="zh-CN"/>
              </w:rPr>
              <w:t>Low</w:t>
            </w:r>
          </w:p>
        </w:tc>
      </w:tr>
      <w:tr w14:paraId="61D3F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29" w:type="dxa"/>
          </w:tcPr>
          <w:p w14:paraId="5FCD67F5">
            <w:pPr>
              <w:rPr>
                <w:rFonts w:hint="default" w:ascii="宋体" w:hAnsi="宋体" w:eastAsia="宋体" w:cs="宋体"/>
                <w:i/>
                <w:iCs/>
                <w:sz w:val="24"/>
                <w:szCs w:val="24"/>
                <w:vertAlign w:val="baseline"/>
                <w:lang w:val="en-US" w:eastAsia="zh-CN"/>
              </w:rPr>
            </w:pPr>
            <w:r>
              <w:rPr>
                <w:rFonts w:hint="eastAsia" w:ascii="宋体" w:hAnsi="宋体" w:eastAsia="宋体" w:cs="宋体"/>
                <w:i/>
                <w:iCs/>
                <w:sz w:val="24"/>
                <w:szCs w:val="24"/>
                <w:vertAlign w:val="baseline"/>
                <w:lang w:val="en-US" w:eastAsia="zh-CN"/>
              </w:rPr>
              <w:t>RUN 8</w:t>
            </w:r>
          </w:p>
        </w:tc>
        <w:tc>
          <w:tcPr>
            <w:tcW w:w="2130" w:type="dxa"/>
          </w:tcPr>
          <w:p w14:paraId="713A3CE4">
            <w:pPr>
              <w:rPr>
                <w:rFonts w:hint="eastAsia" w:ascii="宋体" w:hAnsi="宋体" w:eastAsia="宋体" w:cs="宋体"/>
                <w:i/>
                <w:iCs/>
                <w:sz w:val="24"/>
                <w:szCs w:val="24"/>
                <w:vertAlign w:val="baseline"/>
                <w:lang w:val="en-US" w:eastAsia="zh-CN"/>
              </w:rPr>
            </w:pPr>
            <w:r>
              <w:rPr>
                <w:rFonts w:hint="eastAsia" w:ascii="宋体" w:hAnsi="宋体" w:eastAsia="宋体" w:cs="宋体"/>
                <w:i/>
                <w:iCs/>
                <w:sz w:val="24"/>
                <w:szCs w:val="24"/>
                <w:vertAlign w:val="baseline"/>
                <w:lang w:val="en-US" w:eastAsia="zh-CN"/>
              </w:rPr>
              <w:t>High</w:t>
            </w:r>
          </w:p>
        </w:tc>
        <w:tc>
          <w:tcPr>
            <w:tcW w:w="2130" w:type="dxa"/>
            <w:vAlign w:val="top"/>
          </w:tcPr>
          <w:p w14:paraId="3354366B">
            <w:pPr>
              <w:rPr>
                <w:rFonts w:hint="eastAsia" w:ascii="宋体" w:hAnsi="宋体" w:eastAsia="宋体" w:cs="宋体"/>
                <w:i/>
                <w:iCs/>
                <w:sz w:val="24"/>
                <w:szCs w:val="24"/>
                <w:vertAlign w:val="baseline"/>
                <w:lang w:val="en-US" w:eastAsia="zh-CN"/>
              </w:rPr>
            </w:pPr>
            <w:r>
              <w:rPr>
                <w:rFonts w:hint="eastAsia" w:ascii="宋体" w:hAnsi="宋体" w:eastAsia="宋体" w:cs="宋体"/>
                <w:i/>
                <w:iCs/>
                <w:sz w:val="24"/>
                <w:szCs w:val="24"/>
                <w:vertAlign w:val="baseline"/>
                <w:lang w:val="en-US" w:eastAsia="zh-CN"/>
              </w:rPr>
              <w:t>Medium</w:t>
            </w:r>
          </w:p>
        </w:tc>
      </w:tr>
      <w:tr w14:paraId="5D64B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29" w:type="dxa"/>
          </w:tcPr>
          <w:p w14:paraId="1508CC0E">
            <w:pPr>
              <w:rPr>
                <w:rFonts w:hint="default" w:ascii="宋体" w:hAnsi="宋体" w:eastAsia="宋体" w:cs="宋体"/>
                <w:i/>
                <w:iCs/>
                <w:sz w:val="24"/>
                <w:szCs w:val="24"/>
                <w:vertAlign w:val="baseline"/>
                <w:lang w:val="en-US" w:eastAsia="zh-CN"/>
              </w:rPr>
            </w:pPr>
            <w:r>
              <w:rPr>
                <w:rFonts w:hint="eastAsia" w:ascii="宋体" w:hAnsi="宋体" w:eastAsia="宋体" w:cs="宋体"/>
                <w:i/>
                <w:iCs/>
                <w:sz w:val="24"/>
                <w:szCs w:val="24"/>
                <w:vertAlign w:val="baseline"/>
                <w:lang w:val="en-US" w:eastAsia="zh-CN"/>
              </w:rPr>
              <w:t>RUN 9</w:t>
            </w:r>
          </w:p>
        </w:tc>
        <w:tc>
          <w:tcPr>
            <w:tcW w:w="2130" w:type="dxa"/>
          </w:tcPr>
          <w:p w14:paraId="633BD0EF">
            <w:pPr>
              <w:rPr>
                <w:rFonts w:hint="eastAsia" w:ascii="宋体" w:hAnsi="宋体" w:eastAsia="宋体" w:cs="宋体"/>
                <w:i/>
                <w:iCs/>
                <w:sz w:val="24"/>
                <w:szCs w:val="24"/>
                <w:vertAlign w:val="baseline"/>
                <w:lang w:val="en-US" w:eastAsia="zh-CN"/>
              </w:rPr>
            </w:pPr>
            <w:r>
              <w:rPr>
                <w:rFonts w:hint="eastAsia" w:ascii="宋体" w:hAnsi="宋体" w:eastAsia="宋体" w:cs="宋体"/>
                <w:i/>
                <w:iCs/>
                <w:sz w:val="24"/>
                <w:szCs w:val="24"/>
                <w:vertAlign w:val="baseline"/>
                <w:lang w:val="en-US" w:eastAsia="zh-CN"/>
              </w:rPr>
              <w:t>High</w:t>
            </w:r>
          </w:p>
        </w:tc>
        <w:tc>
          <w:tcPr>
            <w:tcW w:w="2130" w:type="dxa"/>
            <w:vAlign w:val="top"/>
          </w:tcPr>
          <w:p w14:paraId="556B040A">
            <w:pPr>
              <w:rPr>
                <w:rFonts w:hint="eastAsia" w:ascii="宋体" w:hAnsi="宋体" w:eastAsia="宋体" w:cs="宋体"/>
                <w:i/>
                <w:iCs/>
                <w:sz w:val="24"/>
                <w:szCs w:val="24"/>
                <w:vertAlign w:val="baseline"/>
                <w:lang w:val="en-US" w:eastAsia="zh-CN"/>
              </w:rPr>
            </w:pPr>
            <w:r>
              <w:rPr>
                <w:rFonts w:hint="eastAsia" w:ascii="宋体" w:hAnsi="宋体" w:eastAsia="宋体" w:cs="宋体"/>
                <w:i/>
                <w:iCs/>
                <w:sz w:val="24"/>
                <w:szCs w:val="24"/>
                <w:vertAlign w:val="baseline"/>
                <w:lang w:val="en-US" w:eastAsia="zh-CN"/>
              </w:rPr>
              <w:t>High</w:t>
            </w:r>
          </w:p>
        </w:tc>
      </w:tr>
    </w:tbl>
    <w:p w14:paraId="37E289F7">
      <w:pPr>
        <w:rPr>
          <w:rFonts w:hint="default" w:ascii="宋体" w:hAnsi="宋体" w:eastAsia="宋体" w:cs="宋体"/>
          <w:i/>
          <w:iCs/>
          <w:sz w:val="24"/>
          <w:szCs w:val="24"/>
          <w:lang w:val="en-US" w:eastAsia="zh-CN"/>
        </w:rPr>
      </w:pPr>
    </w:p>
    <w:p w14:paraId="686731B4">
      <w:pPr>
        <w:rPr>
          <w:rFonts w:hint="eastAsia" w:ascii="宋体" w:hAnsi="宋体" w:eastAsia="宋体" w:cs="宋体"/>
          <w:i/>
          <w:iCs/>
          <w:sz w:val="24"/>
          <w:szCs w:val="24"/>
        </w:rPr>
      </w:pPr>
    </w:p>
    <w:p w14:paraId="4D1FF7FD">
      <w:pPr>
        <w:rPr>
          <w:rFonts w:hint="eastAsia" w:eastAsiaTheme="minorEastAsia"/>
          <w:lang w:eastAsia="zh-CN"/>
        </w:rPr>
      </w:pPr>
      <w:r>
        <w:rPr>
          <w:rFonts w:hint="eastAsia"/>
        </w:rPr>
        <w:t>第</w:t>
      </w:r>
      <w:r>
        <w:rPr>
          <w:rFonts w:hint="eastAsia"/>
          <w:lang w:val="en-US" w:eastAsia="zh-CN"/>
        </w:rPr>
        <w:t>三</w:t>
      </w:r>
      <w:r>
        <w:rPr>
          <w:rFonts w:hint="eastAsia"/>
        </w:rPr>
        <w:t>步：设计“信息-决策”</w:t>
      </w:r>
      <w:r>
        <w:rPr>
          <w:rFonts w:hint="eastAsia"/>
          <w:lang w:val="en-US" w:eastAsia="zh-CN"/>
        </w:rPr>
        <w:t>仿真</w:t>
      </w:r>
    </w:p>
    <w:p w14:paraId="17C0E149">
      <w:pPr>
        <w:rPr>
          <w:rFonts w:hint="eastAsia"/>
        </w:rPr>
      </w:pPr>
      <w:r>
        <w:rPr>
          <w:rFonts w:hint="eastAsia"/>
        </w:rPr>
        <w:t>这是本研究最前沿的部分，利用 LLM 模拟信息的流动：</w:t>
      </w:r>
    </w:p>
    <w:p w14:paraId="7471FC54">
      <w:pPr>
        <w:rPr>
          <w:rFonts w:hint="eastAsia"/>
        </w:rPr>
      </w:pPr>
    </w:p>
    <w:p w14:paraId="11A7AD7B">
      <w:pPr>
        <w:rPr>
          <w:rFonts w:hint="eastAsia"/>
          <w:color w:val="C00000"/>
        </w:rPr>
      </w:pPr>
      <w:r>
        <w:rPr>
          <w:rFonts w:hint="eastAsia"/>
          <w:color w:val="C00000"/>
          <w:lang w:val="en-US" w:eastAsia="zh-CN"/>
        </w:rPr>
        <w:t>1.</w:t>
      </w:r>
      <w:r>
        <w:rPr>
          <w:rFonts w:hint="eastAsia"/>
          <w:color w:val="C00000"/>
        </w:rPr>
        <w:t>公共信息层 (Public Layer)：</w:t>
      </w:r>
    </w:p>
    <w:p w14:paraId="00CE8E0A">
      <w:pPr>
        <w:rPr>
          <w:rFonts w:hint="default" w:eastAsiaTheme="minorEastAsia"/>
          <w:lang w:val="en-US" w:eastAsia="zh-CN"/>
        </w:rPr>
      </w:pPr>
      <w:r>
        <w:rPr>
          <w:rFonts w:hint="eastAsia"/>
        </w:rPr>
        <w:t xml:space="preserve">气候变量： </w:t>
      </w:r>
      <w:r>
        <w:rPr>
          <w:rFonts w:hint="eastAsia"/>
          <w:lang w:val="en-US" w:eastAsia="zh-CN"/>
        </w:rPr>
        <w:t>极端气候与非极端气候</w:t>
      </w:r>
    </w:p>
    <w:p w14:paraId="43A45E0C">
      <w:pPr>
        <w:rPr>
          <w:rFonts w:hint="default" w:eastAsiaTheme="minorEastAsia"/>
          <w:lang w:val="en-US" w:eastAsia="zh-CN"/>
        </w:rPr>
      </w:pPr>
      <w:r>
        <w:rPr>
          <w:rFonts w:hint="eastAsia"/>
        </w:rPr>
        <w:t xml:space="preserve">政策变量： </w:t>
      </w:r>
      <w:r>
        <w:rPr>
          <w:rFonts w:hint="eastAsia"/>
          <w:lang w:val="en-US" w:eastAsia="zh-CN"/>
        </w:rPr>
        <w:t>9组政策组合实验</w:t>
      </w:r>
    </w:p>
    <w:p w14:paraId="2064C3F1">
      <w:pPr>
        <w:rPr>
          <w:rFonts w:hint="eastAsia"/>
          <w:color w:val="C00000"/>
        </w:rPr>
      </w:pPr>
      <w:r>
        <w:rPr>
          <w:rFonts w:hint="eastAsia"/>
          <w:color w:val="C00000"/>
          <w:lang w:val="en-US" w:eastAsia="zh-CN"/>
        </w:rPr>
        <w:t>2.</w:t>
      </w:r>
      <w:r>
        <w:rPr>
          <w:rFonts w:hint="eastAsia"/>
          <w:color w:val="C00000"/>
        </w:rPr>
        <w:t>私人社交层 (Social Layer)：</w:t>
      </w:r>
    </w:p>
    <w:p w14:paraId="661DE0AE">
      <w:pPr>
        <w:rPr>
          <w:rFonts w:hint="eastAsia"/>
        </w:rPr>
      </w:pPr>
      <w:r>
        <w:rPr>
          <w:rFonts w:hint="eastAsia"/>
        </w:rPr>
        <w:t>Agent 之间基于</w:t>
      </w:r>
      <w:r>
        <w:rPr>
          <w:rFonts w:hint="eastAsia"/>
          <w:highlight w:val="yellow"/>
        </w:rPr>
        <w:t xml:space="preserve">图神经网络 (Graph) </w:t>
      </w:r>
      <w:r>
        <w:rPr>
          <w:rFonts w:hint="eastAsia"/>
        </w:rPr>
        <w:t>进行对话。</w:t>
      </w:r>
    </w:p>
    <w:p w14:paraId="450C780C">
      <w:pPr>
        <w:rPr>
          <w:rFonts w:hint="eastAsia"/>
        </w:rPr>
      </w:pPr>
      <w:r>
        <w:rPr>
          <w:rFonts w:hint="eastAsia"/>
        </w:rPr>
        <w:t>LLM 生成对话示例： Agent A (保守派) 问 Agent B (尝鲜者): “你家装的光伏真的省电吗？我怕起火。” Agent B 基于自己的体验（记忆）回答：“真的省，上个月电费</w:t>
      </w:r>
      <w:r>
        <w:rPr>
          <w:rFonts w:hint="eastAsia"/>
          <w:lang w:val="en-US" w:eastAsia="zh-CN"/>
        </w:rPr>
        <w:t>就用了100块</w:t>
      </w:r>
      <w:r>
        <w:rPr>
          <w:rFonts w:hint="eastAsia"/>
        </w:rPr>
        <w:t>，而且很安全。” —— 这种定性的说服过程是传统数学模型无法模拟的。</w:t>
      </w:r>
    </w:p>
    <w:p w14:paraId="45D07FED">
      <w:pPr>
        <w:rPr>
          <w:rFonts w:hint="eastAsia"/>
          <w:lang w:val="en-US" w:eastAsia="zh-CN"/>
        </w:rPr>
      </w:pPr>
    </w:p>
    <w:p w14:paraId="7B35C67C">
      <w:pPr>
        <w:rPr>
          <w:rFonts w:hint="default"/>
          <w:lang w:val="en-US" w:eastAsia="zh-CN"/>
        </w:rPr>
      </w:pPr>
      <w:r>
        <w:rPr>
          <w:rFonts w:hint="eastAsia"/>
          <w:lang w:val="en-US" w:eastAsia="zh-CN"/>
        </w:rPr>
        <w:t>因变量：最终仿真结果的中的家庭低碳产品的“支付意愿”Dhebar (1994) 。例如没有电车的家庭的支付意愿，以及有电车家庭的使用意愿。为什么选电车呢？因为油车的使用严重受到气候的影响，而电车作为油车的替代产品，体现了居民受到极端天气影响而对低碳产品的偏向度。</w:t>
      </w:r>
    </w:p>
    <w:p w14:paraId="51CAEABB">
      <w:pPr>
        <w:rPr>
          <w:rFonts w:hint="eastAsia"/>
          <w:lang w:val="en-US" w:eastAsia="zh-CN"/>
        </w:rPr>
      </w:pPr>
    </w:p>
    <w:p w14:paraId="2A572523">
      <w:pPr>
        <w:rPr>
          <w:rFonts w:hint="eastAsia"/>
        </w:rPr>
      </w:pPr>
    </w:p>
    <w:p w14:paraId="1E2B03DA">
      <w:pPr>
        <w:rPr>
          <w:rFonts w:hint="eastAsia"/>
        </w:rPr>
      </w:pPr>
    </w:p>
    <w:p w14:paraId="7F77B974">
      <w:pPr>
        <w:rPr>
          <w:rFonts w:hint="eastAsia"/>
        </w:rPr>
      </w:pPr>
    </w:p>
    <w:p w14:paraId="2374DAEF">
      <w:pPr>
        <w:rPr>
          <w:rFonts w:hint="eastAsia"/>
          <w:b/>
          <w:bCs/>
          <w:color w:val="C00000"/>
          <w:lang w:val="en-US" w:eastAsia="zh-CN"/>
        </w:rPr>
      </w:pPr>
      <w:r>
        <w:rPr>
          <w:rFonts w:hint="eastAsia"/>
          <w:lang w:val="en-US" w:eastAsia="zh-CN"/>
        </w:rPr>
        <w:t>最终结果：</w:t>
      </w:r>
      <w:r>
        <w:rPr>
          <w:rFonts w:hint="eastAsia"/>
          <w:b/>
          <w:bCs/>
          <w:color w:val="C00000"/>
          <w:lang w:val="en-US" w:eastAsia="zh-CN"/>
        </w:rPr>
        <w:t>在气候极端/宜人（气温，降水量，光照，风速）时，什么样的政策组合能有效促进家庭能源结构低碳转型，且兼顾社会公平（不能只是富裕家庭更换了，贫困家庭没有更换）</w:t>
      </w:r>
    </w:p>
    <w:p w14:paraId="678E5F7F">
      <w:pPr>
        <w:rPr>
          <w:rFonts w:hint="default"/>
          <w:b/>
          <w:bCs/>
          <w:color w:val="C00000"/>
          <w:lang w:val="en-US" w:eastAsia="zh-CN"/>
        </w:rPr>
      </w:pPr>
    </w:p>
    <w:p w14:paraId="500C7A22">
      <w:pPr>
        <w:rPr>
          <w:rFonts w:ascii="Segoe UI" w:hAnsi="Segoe UI" w:eastAsia="Segoe UI" w:cs="Segoe UI"/>
          <w:i w:val="0"/>
          <w:iCs w:val="0"/>
          <w:caps w:val="0"/>
          <w:color w:val="000000"/>
          <w:spacing w:val="0"/>
          <w:sz w:val="27"/>
          <w:szCs w:val="27"/>
          <w:shd w:val="clear" w:fill="F7FAFE"/>
        </w:rPr>
      </w:pPr>
    </w:p>
    <w:p w14:paraId="050462BA">
      <w:pPr>
        <w:rPr>
          <w:rFonts w:ascii="Segoe UI" w:hAnsi="Segoe UI" w:eastAsia="Segoe UI" w:cs="Segoe UI"/>
          <w:i w:val="0"/>
          <w:iCs w:val="0"/>
          <w:caps w:val="0"/>
          <w:color w:val="000000"/>
          <w:spacing w:val="0"/>
          <w:sz w:val="27"/>
          <w:szCs w:val="27"/>
          <w:shd w:val="clear" w:fill="F7FAFE"/>
        </w:rPr>
      </w:pPr>
    </w:p>
    <w:p w14:paraId="13F9E98D">
      <w:pPr>
        <w:ind w:firstLine="540" w:firstLineChars="200"/>
        <w:rPr>
          <w:rFonts w:ascii="Segoe UI" w:hAnsi="Segoe UI" w:eastAsia="Segoe UI" w:cs="Segoe UI"/>
          <w:i w:val="0"/>
          <w:iCs w:val="0"/>
          <w:caps w:val="0"/>
          <w:color w:val="000000"/>
          <w:spacing w:val="0"/>
          <w:sz w:val="27"/>
          <w:szCs w:val="27"/>
          <w:shd w:val="clear" w:fill="F7FAFE"/>
        </w:rPr>
      </w:pPr>
      <w:r>
        <w:rPr>
          <w:rFonts w:ascii="Segoe UI" w:hAnsi="Segoe UI" w:eastAsia="Segoe UI" w:cs="Segoe UI"/>
          <w:i w:val="0"/>
          <w:iCs w:val="0"/>
          <w:caps w:val="0"/>
          <w:color w:val="000000"/>
          <w:spacing w:val="0"/>
          <w:sz w:val="27"/>
          <w:szCs w:val="27"/>
          <w:shd w:val="clear" w:fill="F7FAFE"/>
        </w:rPr>
        <w:t xml:space="preserve">极端气候（异常气温、干旱、暴雨等）和天气变化，对家庭能源消费及绿色消费产生重要影响，相关机制复杂且涉及多个层面，包括需求转变、心理行为反应、技术适应性及政策调控等。以下详细分析其中的具体机理与路径： </w:t>
      </w:r>
    </w:p>
    <w:p w14:paraId="38499ACE">
      <w:pPr>
        <w:numPr>
          <w:ilvl w:val="0"/>
          <w:numId w:val="1"/>
        </w:numPr>
        <w:rPr>
          <w:rFonts w:hint="default" w:ascii="Times New Roman" w:hAnsi="Times New Roman" w:eastAsia="Segoe UI" w:cs="Times New Roman"/>
          <w:i w:val="0"/>
          <w:iCs w:val="0"/>
          <w:caps w:val="0"/>
          <w:color w:val="000000"/>
          <w:spacing w:val="0"/>
          <w:sz w:val="27"/>
          <w:szCs w:val="27"/>
          <w:shd w:val="clear" w:fill="F7FAFE"/>
        </w:rPr>
      </w:pPr>
      <w:r>
        <w:rPr>
          <w:rFonts w:hint="default" w:ascii="Times New Roman" w:hAnsi="Times New Roman" w:eastAsia="Segoe UI" w:cs="Times New Roman"/>
          <w:i w:val="0"/>
          <w:iCs w:val="0"/>
          <w:caps w:val="0"/>
          <w:color w:val="000000"/>
          <w:spacing w:val="0"/>
          <w:sz w:val="27"/>
          <w:szCs w:val="27"/>
          <w:shd w:val="clear" w:fill="F7FAFE"/>
        </w:rPr>
        <w:t>家庭能源消费的主要影响路径</w:t>
      </w:r>
    </w:p>
    <w:p w14:paraId="4DDB88B2">
      <w:pPr>
        <w:numPr>
          <w:ilvl w:val="0"/>
          <w:numId w:val="2"/>
        </w:numPr>
        <w:rPr>
          <w:rFonts w:hint="default" w:ascii="Times New Roman" w:hAnsi="Times New Roman" w:eastAsia="Segoe UI" w:cs="Times New Roman"/>
          <w:b/>
          <w:bCs/>
          <w:i w:val="0"/>
          <w:iCs w:val="0"/>
          <w:caps w:val="0"/>
          <w:color w:val="000000"/>
          <w:spacing w:val="0"/>
          <w:sz w:val="27"/>
          <w:szCs w:val="27"/>
          <w:shd w:val="clear" w:fill="F7FAFE"/>
        </w:rPr>
      </w:pPr>
      <w:r>
        <w:rPr>
          <w:rFonts w:hint="default" w:ascii="Times New Roman" w:hAnsi="Times New Roman" w:eastAsia="Segoe UI" w:cs="Times New Roman"/>
          <w:b/>
          <w:bCs/>
          <w:i w:val="0"/>
          <w:iCs w:val="0"/>
          <w:caps w:val="0"/>
          <w:color w:val="000000"/>
          <w:spacing w:val="0"/>
          <w:sz w:val="27"/>
          <w:szCs w:val="27"/>
          <w:shd w:val="clear" w:fill="F7FAFE"/>
        </w:rPr>
        <w:t xml:space="preserve">供暖与制冷需求的变化 </w:t>
      </w:r>
    </w:p>
    <w:p w14:paraId="610D165E">
      <w:pPr>
        <w:numPr>
          <w:numId w:val="0"/>
        </w:numPr>
        <w:ind w:firstLine="540" w:firstLineChars="200"/>
        <w:rPr>
          <w:rFonts w:hint="default" w:ascii="Times New Roman" w:hAnsi="Times New Roman" w:eastAsia="Segoe UI" w:cs="Times New Roman"/>
          <w:i w:val="0"/>
          <w:iCs w:val="0"/>
          <w:caps w:val="0"/>
          <w:color w:val="000000"/>
          <w:spacing w:val="0"/>
          <w:sz w:val="27"/>
          <w:szCs w:val="27"/>
          <w:shd w:val="clear" w:fill="F7FAFE"/>
        </w:rPr>
      </w:pPr>
      <w:r>
        <w:rPr>
          <w:rFonts w:hint="default" w:ascii="Times New Roman" w:hAnsi="Times New Roman" w:eastAsia="Segoe UI" w:cs="Times New Roman"/>
          <w:b/>
          <w:bCs/>
          <w:i w:val="0"/>
          <w:iCs w:val="0"/>
          <w:caps w:val="0"/>
          <w:color w:val="000000"/>
          <w:spacing w:val="0"/>
          <w:sz w:val="27"/>
          <w:szCs w:val="27"/>
          <w:shd w:val="clear" w:fill="F7FAFE"/>
        </w:rPr>
        <w:t>季节性用能波动</w:t>
      </w:r>
      <w:r>
        <w:rPr>
          <w:rFonts w:hint="default" w:ascii="Times New Roman" w:hAnsi="Times New Roman" w:eastAsia="Segoe UI" w:cs="Times New Roman"/>
          <w:i w:val="0"/>
          <w:iCs w:val="0"/>
          <w:caps w:val="0"/>
          <w:color w:val="000000"/>
          <w:spacing w:val="0"/>
          <w:sz w:val="27"/>
          <w:szCs w:val="27"/>
          <w:shd w:val="clear" w:fill="F7FAFE"/>
        </w:rPr>
        <w:t>：极端气候直接改变了家庭的能源需求结构。例如，寒冷冬季加剧供暖负担，而炎热夏季则显著增加制冷需求。研究表明，夏季冷负荷将持续上升，增长幅度远高于冬季采暖负荷下降的幅度</w:t>
      </w:r>
      <w:r>
        <w:rPr>
          <w:rFonts w:hint="eastAsia" w:ascii="Times New Roman" w:hAnsi="Times New Roman" w:eastAsia="宋体" w:cs="Times New Roman"/>
          <w:i w:val="0"/>
          <w:iCs w:val="0"/>
          <w:caps w:val="0"/>
          <w:color w:val="000000"/>
          <w:spacing w:val="0"/>
          <w:sz w:val="27"/>
          <w:szCs w:val="27"/>
          <w:shd w:val="clear" w:fill="F7FAFE"/>
          <w:lang w:eastAsia="zh-CN"/>
        </w:rPr>
        <w:t>，气候变化将加剧对电力系统的压力，尤其是在高温频发的地区。</w:t>
      </w:r>
      <w:r>
        <w:rPr>
          <w:rFonts w:hint="eastAsia" w:ascii="Times New Roman" w:hAnsi="Times New Roman" w:eastAsia="宋体" w:cs="Times New Roman"/>
          <w:i w:val="0"/>
          <w:iCs w:val="0"/>
          <w:caps w:val="0"/>
          <w:color w:val="000000"/>
          <w:spacing w:val="0"/>
          <w:sz w:val="27"/>
          <w:szCs w:val="27"/>
          <w:shd w:val="clear" w:fill="F7FAFE"/>
          <w:lang w:val="en-US" w:eastAsia="zh-CN"/>
        </w:rPr>
        <w:t>因此，研究强调必须制定有前瞻性的居民能耗应对政策以适应极端气候变化</w:t>
      </w:r>
      <w:r>
        <w:rPr>
          <w:rFonts w:hint="eastAsia" w:ascii="Times New Roman" w:hAnsi="Times New Roman" w:eastAsia="宋体" w:cs="Times New Roman"/>
          <w:i w:val="0"/>
          <w:iCs w:val="0"/>
          <w:caps w:val="0"/>
          <w:color w:val="000000"/>
          <w:spacing w:val="0"/>
          <w:sz w:val="27"/>
          <w:szCs w:val="27"/>
          <w:shd w:val="clear" w:fill="F7FAFE"/>
          <w:lang w:val="en-US" w:eastAsia="zh-CN"/>
        </w:rPr>
        <w:fldChar w:fldCharType="begin"/>
      </w:r>
      <w:r>
        <w:rPr>
          <w:rFonts w:hint="eastAsia" w:ascii="Times New Roman" w:hAnsi="Times New Roman" w:eastAsia="宋体" w:cs="Times New Roman"/>
          <w:i w:val="0"/>
          <w:iCs w:val="0"/>
          <w:caps w:val="0"/>
          <w:color w:val="000000"/>
          <w:spacing w:val="0"/>
          <w:sz w:val="27"/>
          <w:szCs w:val="27"/>
          <w:shd w:val="clear" w:fill="F7FAFE"/>
          <w:lang w:val="en-US" w:eastAsia="zh-CN"/>
        </w:rPr>
        <w:instrText xml:space="preserve"> ADDIN ZOTERO_ITEM CSL_CITATION {"citationID":"cMAsRutT","properties":{"formattedCitation":"(An et al., 2026)","plainCitation":"(An et al., 2026)","noteIndex":0},"citationItems":[{"id":2430,"uris":["http://zotero.org/users/11769009/items/BL6669D7"],"itemData":{"id":2430,"type":"article-journal","abstract":"In recent years, tracking building energy consumption for power-grid stability has garnered attention in combating climate change. In summer, increased cooling load affects the power grid, making it necessary to monitor peak cooling loads. This study focuses on the impact of climate change on cumulative and peak cooling loads of residential buildings in Beijing. Using 71 years of actual meteorological data, it considered the coupled effects of occupant behavior (OB) and envelope-structures performance. Results indicate that the residential cooling loads under climate change vary significantly with OBs. In the energy-saving pattern, the extreme difference of cumulative cooling load is 0.35 times that in the wasteful one, while for peak cooling load, it is 3.9 times. The range coefficient for both cumulative and peak cooling loads in the energy-saving pattern is approximately 3.6 times that in the wasteful one. However, this volatility remains consistent across different building envelopes, although the levels of loads for different building envelopes vary with different OBs. The findings offer insights for the future air-conditioning (AC) system design, policy-making, and grid stability.","container-title":"Energy and Buildings","DOI":"10.1016/j.enbuild.2025.116691","ISSN":"0378-7788","journalAbbreviation":"Energy and Buildings","page":"116691","source":"ScienceDirect","title":"Long-term impact of climate change on residential cooling loads in Beijing: A multi-factor analysis of occupant behaviors and envelopes","title-short":"Long-term impact of climate change on residential cooling loads in Beijing","volume":"351","author":[{"family":"An","given":"Jingjing"},{"family":"Liu","given":"Wenyan"},{"family":"Wang","given":"Chuang"},{"family":"Zhou","given":"Xin"},{"family":"Hu","given":"Shan"},{"family":"Yan","given":"Da"}],"issued":{"date-parts":[["2026",1,15]]}}}],"schema":"https://github.com/citation-style-language/schema/raw/master/csl-citation.json"} </w:instrText>
      </w:r>
      <w:r>
        <w:rPr>
          <w:rFonts w:hint="eastAsia" w:ascii="Times New Roman" w:hAnsi="Times New Roman" w:eastAsia="宋体" w:cs="Times New Roman"/>
          <w:i w:val="0"/>
          <w:iCs w:val="0"/>
          <w:caps w:val="0"/>
          <w:color w:val="000000"/>
          <w:spacing w:val="0"/>
          <w:sz w:val="27"/>
          <w:szCs w:val="27"/>
          <w:shd w:val="clear" w:fill="F7FAFE"/>
          <w:lang w:val="en-US" w:eastAsia="zh-CN"/>
        </w:rPr>
        <w:fldChar w:fldCharType="separate"/>
      </w:r>
      <w:r>
        <w:rPr>
          <w:rFonts w:hint="default" w:ascii="Times New Roman" w:hAnsi="Times New Roman" w:eastAsia="宋体" w:cs="Times New Roman"/>
          <w:sz w:val="27"/>
          <w:lang w:eastAsia="zh-CN"/>
        </w:rPr>
        <w:t>(An et al., 2026)</w:t>
      </w:r>
      <w:r>
        <w:rPr>
          <w:rFonts w:hint="eastAsia" w:ascii="Times New Roman" w:hAnsi="Times New Roman" w:eastAsia="宋体" w:cs="Times New Roman"/>
          <w:i w:val="0"/>
          <w:iCs w:val="0"/>
          <w:caps w:val="0"/>
          <w:color w:val="000000"/>
          <w:spacing w:val="0"/>
          <w:sz w:val="27"/>
          <w:szCs w:val="27"/>
          <w:shd w:val="clear" w:fill="F7FAFE"/>
          <w:lang w:val="en-US" w:eastAsia="zh-CN"/>
        </w:rPr>
        <w:fldChar w:fldCharType="end"/>
      </w:r>
      <w:r>
        <w:rPr>
          <w:rFonts w:hint="default" w:ascii="Times New Roman" w:hAnsi="Times New Roman" w:eastAsia="Segoe UI" w:cs="Times New Roman"/>
          <w:i w:val="0"/>
          <w:iCs w:val="0"/>
          <w:caps w:val="0"/>
          <w:color w:val="000000"/>
          <w:spacing w:val="0"/>
          <w:sz w:val="27"/>
          <w:szCs w:val="27"/>
          <w:shd w:val="clear" w:fill="F7FAFE"/>
        </w:rPr>
        <w:t>。</w:t>
      </w:r>
      <w:r>
        <w:rPr>
          <w:rFonts w:hint="default" w:ascii="Times New Roman" w:hAnsi="Times New Roman" w:eastAsia="Segoe UI" w:cs="Times New Roman"/>
          <w:i w:val="0"/>
          <w:iCs w:val="0"/>
          <w:caps w:val="0"/>
          <w:color w:val="000000"/>
          <w:spacing w:val="0"/>
          <w:sz w:val="27"/>
          <w:szCs w:val="27"/>
          <w:shd w:val="clear" w:fill="F7FAFE"/>
        </w:rPr>
        <w:fldChar w:fldCharType="begin"/>
      </w:r>
      <w:r>
        <w:rPr>
          <w:rFonts w:hint="eastAsia" w:ascii="Times New Roman" w:hAnsi="Times New Roman" w:eastAsia="宋体" w:cs="Times New Roman"/>
          <w:i w:val="0"/>
          <w:iCs w:val="0"/>
          <w:caps w:val="0"/>
          <w:color w:val="000000"/>
          <w:spacing w:val="0"/>
          <w:sz w:val="27"/>
          <w:szCs w:val="27"/>
          <w:shd w:val="clear" w:fill="F7FAFE"/>
          <w:lang w:eastAsia="zh-CN"/>
        </w:rPr>
        <w:instrText xml:space="preserve"> ADDIN ZOTERO_ITEM CSL_CITATION {"citationID":"Hswq4DlE","properties":{"formattedCitation":"(van Ruijven et al., 2019)","plainCitation":"(van Ruijven et al., 2019)","noteIndex":0},"citationItems":[{"id":2432,"uris":["http://zotero.org/users/11769009/items/LZQWIUGV"],"itemData":{"id":2432,"type":"article-journal","abstract":"Future energy demand is likely to increase due to climate change, but the magnitude depends on many interacting sources of uncertainty. We combine econometrically estimated responses of energy use to income, hot and cold days with future projections of spatial population and national income under five socioeconomic scenarios and temperature increases around 2050 for two emission scenarios simulated by 21 Earth System Models (ESMs). Here we show that, across 210 realizations of socioeconomic and climate scenarios, vigorous (moderate) warming increases global climate-exposed energy demand before adaptation around 2050 by 25–58% (11–27%), on top of a factor 1.7–2.8 increase above present-day due to socioeconomic developments. We find broad agreement among ESMs that energy demand rises by more than 25% in the tropics and southern regions of the USA, Europe and China. Socioeconomic scenarios vary widely in the number of people in low-income countries exposed to increases in energy demand.","container-title":"Nature Communications","DOI":"10.1038/s41467-019-10399-3","ISSN":"2041-1723","issue":"1","journalAbbreviation":"Nat Commun","language":"en","license":"2019 The Author(s)","note":"publisher: Nature Publishing Group","page":"2762","source":"www.nature.com","title":"Amplification of future energy demand growth due to climate change","volume":"10","author":[{"family":"Ruijven","given":"Bas J.","non-dropping-particle":"van"},{"family":"De Cian","given":"Enrica"},{"family":"Sue Wing","given":"Ian"}],"issued":{"date-parts":[["2019",6,24]]}}}],"schema":"https://github.com/citation-style-language/schema/raw/master/csl-citation.json"} </w:instrText>
      </w:r>
      <w:r>
        <w:rPr>
          <w:rFonts w:hint="default" w:ascii="Times New Roman" w:hAnsi="Times New Roman" w:eastAsia="Segoe UI" w:cs="Times New Roman"/>
          <w:i w:val="0"/>
          <w:iCs w:val="0"/>
          <w:caps w:val="0"/>
          <w:color w:val="000000"/>
          <w:spacing w:val="0"/>
          <w:sz w:val="27"/>
          <w:szCs w:val="27"/>
          <w:shd w:val="clear" w:fill="F7FAFE"/>
        </w:rPr>
        <w:fldChar w:fldCharType="separate"/>
      </w:r>
      <w:r>
        <w:rPr>
          <w:rFonts w:hint="default" w:ascii="Times New Roman" w:hAnsi="Times New Roman" w:eastAsia="宋体" w:cs="Times New Roman"/>
          <w:sz w:val="27"/>
          <w:lang w:eastAsia="zh-CN"/>
        </w:rPr>
        <w:t>(van Ruijven et al., 2019)</w:t>
      </w:r>
      <w:r>
        <w:rPr>
          <w:rFonts w:hint="default" w:ascii="Times New Roman" w:hAnsi="Times New Roman" w:eastAsia="Segoe UI" w:cs="Times New Roman"/>
          <w:i w:val="0"/>
          <w:iCs w:val="0"/>
          <w:caps w:val="0"/>
          <w:color w:val="000000"/>
          <w:spacing w:val="0"/>
          <w:sz w:val="27"/>
          <w:szCs w:val="27"/>
          <w:shd w:val="clear" w:fill="F7FAFE"/>
        </w:rPr>
        <w:fldChar w:fldCharType="end"/>
      </w:r>
      <w:r>
        <w:rPr>
          <w:rFonts w:hint="default" w:ascii="Times New Roman" w:hAnsi="Times New Roman" w:eastAsia="Segoe UI" w:cs="Times New Roman"/>
          <w:i w:val="0"/>
          <w:iCs w:val="0"/>
          <w:caps w:val="0"/>
          <w:color w:val="000000"/>
          <w:spacing w:val="0"/>
          <w:sz w:val="27"/>
          <w:szCs w:val="27"/>
          <w:shd w:val="clear" w:fill="F7FAFE"/>
        </w:rPr>
        <w:t>特别强调高温地区制冷需求的快速增长趋势；研究基于1970-2014年的历史数据，并利用了多种情景分析和模型预测结果，显示未来夏季能源需求在热带地区将显著增长，而温带地区的冬季需求略微下降。</w:t>
      </w:r>
    </w:p>
    <w:p w14:paraId="0310D0A7">
      <w:pPr>
        <w:numPr>
          <w:numId w:val="0"/>
        </w:numPr>
        <w:ind w:firstLine="540" w:firstLineChars="200"/>
        <w:rPr>
          <w:rFonts w:hint="default" w:ascii="Times New Roman" w:hAnsi="Times New Roman" w:eastAsia="Segoe UI" w:cs="Times New Roman"/>
          <w:i w:val="0"/>
          <w:iCs w:val="0"/>
          <w:caps w:val="0"/>
          <w:color w:val="000000"/>
          <w:spacing w:val="0"/>
          <w:sz w:val="27"/>
          <w:szCs w:val="27"/>
          <w:shd w:val="clear" w:fill="F7FAFE"/>
        </w:rPr>
      </w:pPr>
      <w:r>
        <w:rPr>
          <w:rFonts w:hint="default" w:ascii="Times New Roman" w:hAnsi="Times New Roman" w:eastAsia="Segoe UI" w:cs="Times New Roman"/>
          <w:b/>
          <w:bCs/>
          <w:i w:val="0"/>
          <w:iCs w:val="0"/>
          <w:caps w:val="0"/>
          <w:color w:val="000000"/>
          <w:spacing w:val="0"/>
          <w:sz w:val="27"/>
          <w:szCs w:val="27"/>
          <w:shd w:val="clear" w:fill="F7FAFE"/>
        </w:rPr>
        <w:t>能源负荷峰值升高</w:t>
      </w:r>
      <w:r>
        <w:rPr>
          <w:rFonts w:hint="default" w:ascii="Times New Roman" w:hAnsi="Times New Roman" w:eastAsia="Segoe UI" w:cs="Times New Roman"/>
          <w:i w:val="0"/>
          <w:iCs w:val="0"/>
          <w:caps w:val="0"/>
          <w:color w:val="000000"/>
          <w:spacing w:val="0"/>
          <w:sz w:val="27"/>
          <w:szCs w:val="27"/>
          <w:shd w:val="clear" w:fill="F7FAFE"/>
        </w:rPr>
        <w:t>：极端天气（如热浪）通常造成区域性用电高峰，特别是在依赖空调和冷却设备的家庭中，高峰期能源压力显著</w:t>
      </w:r>
      <w:r>
        <w:rPr>
          <w:rFonts w:hint="default" w:ascii="Times New Roman" w:hAnsi="Times New Roman" w:eastAsia="Segoe UI" w:cs="Times New Roman"/>
          <w:i w:val="0"/>
          <w:iCs w:val="0"/>
          <w:caps w:val="0"/>
          <w:color w:val="000000"/>
          <w:spacing w:val="0"/>
          <w:sz w:val="27"/>
          <w:szCs w:val="27"/>
          <w:shd w:val="clear" w:fill="F7FAFE"/>
        </w:rPr>
        <w:fldChar w:fldCharType="begin"/>
      </w:r>
      <w:r>
        <w:rPr>
          <w:rFonts w:hint="eastAsia" w:ascii="Times New Roman" w:hAnsi="Times New Roman" w:eastAsia="宋体" w:cs="Times New Roman"/>
          <w:i w:val="0"/>
          <w:iCs w:val="0"/>
          <w:caps w:val="0"/>
          <w:color w:val="000000"/>
          <w:spacing w:val="0"/>
          <w:sz w:val="27"/>
          <w:szCs w:val="27"/>
          <w:shd w:val="clear" w:fill="F7FAFE"/>
          <w:lang w:eastAsia="zh-CN"/>
        </w:rPr>
        <w:instrText xml:space="preserve"> ADDIN ZOTERO_ITEM CSL_CITATION {"citationID":"afnH78uf","properties":{"formattedCitation":"(Zhou et al., 2014)","plainCitation":"(Zhou et al., 2014)","noteIndex":0},"citationItems":[{"id":2438,"uris":["http://zotero.org/users/11769009/items/LRIM4TBB"],"itemData":{"id":2438,"type":"article-journal","abstract":"Objective\nBecause long-term socioeconomic transformation and energy service expansion show large spatial heterogeneity, advanced understanding of climate change impact on buildings energy use at the sub-national level will offer useful insights into climate policy and regional energy system planning.\nMethods\nIn this study, we present a detailed buildings energy model with U.S. state-level representation, nested in an integrated assessment framework of the Global Change Assessment Model (GCAM). We project state-level buildings energy demand and its spatial pattern through the end of the century, considering the impact of climate change based on the estimates of heating and cooling degree days derived from downscaled USGS CASCaDE temperature data.\nResults\nThe results indicate that climate change has a large impact on heating and cooling buildings energy and fuel use at the state level and that the 48 U.S. contiguous states exhibit a large spatial heterogeneity (ranges from −10% to+10% for total, −10% to+20% for electricity use and −20% to −5% for oil and gas use in the A2 scenario). Sensitivity analysis explores the potential implications of multiple driving forces, including climate action that would both change the price of energy and reduce climate change, the choice of climate models, and population and GDP growth. In addition, the 50-state building model is compared to a comparable version of the model which represents the entire United States as one region.\nConclusions\nThe study clearly demonstrates the spatially varying nature of fuel consumption changes that might occur from a changing climate. Although the study illustrates the importance of incorporating climate change into infrastructure-planning exercises, it also demonstrates that uncertainties about underlying drivers still must weigh heavily on these planning decisions. Finally, the study demonstrates that the 50-state building model provides both insights at the regional level and potentially better national-level estimates.\nPractice implication\nThe findings from this study will help the climate-based policy decision and energy system, especially utility planning related to the buildings sector at the U.S. state and regional level facing the potential climate change.","container-title":"Applied Energy","DOI":"10.1016/j.apenergy.2013.08.034","ISSN":"0306-2619","journalAbbreviation":"Applied Energy","page":"1077-1088","source":"ScienceDirect","title":"Modeling the effect of climate change on U.S. state-level buildings energy demands in an integrated assessment framework","volume":"113","author":[{"family":"Zhou","given":"Yuyu"},{"family":"Clarke","given":"Leon"},{"family":"Eom","given":"Jiyong"},{"family":"Kyle","given":"Page"},{"family":"Patel","given":"Pralit"},{"family":"Kim","given":"Son H."},{"family":"Dirks","given":"James"},{"family":"Jensen","given":"Erik"},{"family":"Liu","given":"Ying"},{"family":"Rice","given":"Jennie"},{"family":"Schmidt","given":"Laurel"},{"family":"Seiple","given":"Timothy"}],"issued":{"date-parts":[["2014",1,1]]}}}],"schema":"https://github.com/citation-style-language/schema/raw/master/csl-citation.json"} </w:instrText>
      </w:r>
      <w:r>
        <w:rPr>
          <w:rFonts w:hint="default" w:ascii="Times New Roman" w:hAnsi="Times New Roman" w:eastAsia="Segoe UI" w:cs="Times New Roman"/>
          <w:i w:val="0"/>
          <w:iCs w:val="0"/>
          <w:caps w:val="0"/>
          <w:color w:val="000000"/>
          <w:spacing w:val="0"/>
          <w:sz w:val="27"/>
          <w:szCs w:val="27"/>
          <w:shd w:val="clear" w:fill="F7FAFE"/>
        </w:rPr>
        <w:fldChar w:fldCharType="separate"/>
      </w:r>
      <w:r>
        <w:rPr>
          <w:rFonts w:hint="default" w:ascii="Times New Roman" w:hAnsi="Times New Roman" w:eastAsia="宋体" w:cs="Times New Roman"/>
          <w:sz w:val="27"/>
          <w:lang w:eastAsia="zh-CN"/>
        </w:rPr>
        <w:t>(Zhou et al., 2014)</w:t>
      </w:r>
      <w:r>
        <w:rPr>
          <w:rFonts w:hint="default" w:ascii="Times New Roman" w:hAnsi="Times New Roman" w:eastAsia="Segoe UI" w:cs="Times New Roman"/>
          <w:i w:val="0"/>
          <w:iCs w:val="0"/>
          <w:caps w:val="0"/>
          <w:color w:val="000000"/>
          <w:spacing w:val="0"/>
          <w:sz w:val="27"/>
          <w:szCs w:val="27"/>
          <w:shd w:val="clear" w:fill="F7FAFE"/>
        </w:rPr>
        <w:fldChar w:fldCharType="end"/>
      </w:r>
      <w:r>
        <w:rPr>
          <w:rFonts w:hint="default" w:ascii="Times New Roman" w:hAnsi="Times New Roman" w:eastAsia="Segoe UI" w:cs="Times New Roman"/>
          <w:i w:val="0"/>
          <w:iCs w:val="0"/>
          <w:caps w:val="0"/>
          <w:color w:val="000000"/>
          <w:spacing w:val="0"/>
          <w:sz w:val="27"/>
          <w:szCs w:val="27"/>
          <w:shd w:val="clear" w:fill="F7FAFE"/>
        </w:rPr>
        <w:t>。</w:t>
      </w:r>
      <w:r>
        <w:rPr>
          <w:rFonts w:hint="default" w:ascii="Times New Roman" w:hAnsi="Times New Roman" w:eastAsia="Segoe UI" w:cs="Times New Roman"/>
          <w:i w:val="0"/>
          <w:iCs w:val="0"/>
          <w:caps w:val="0"/>
          <w:color w:val="000000"/>
          <w:spacing w:val="0"/>
          <w:sz w:val="27"/>
          <w:szCs w:val="27"/>
          <w:shd w:val="clear" w:fill="F7FAFE"/>
        </w:rPr>
        <w:fldChar w:fldCharType="begin"/>
      </w:r>
      <w:r>
        <w:rPr>
          <w:rFonts w:hint="eastAsia" w:ascii="Times New Roman" w:hAnsi="Times New Roman" w:eastAsia="宋体" w:cs="Times New Roman"/>
          <w:i w:val="0"/>
          <w:iCs w:val="0"/>
          <w:caps w:val="0"/>
          <w:color w:val="000000"/>
          <w:spacing w:val="0"/>
          <w:sz w:val="27"/>
          <w:szCs w:val="27"/>
          <w:shd w:val="clear" w:fill="F7FAFE"/>
          <w:lang w:eastAsia="zh-CN"/>
        </w:rPr>
        <w:instrText xml:space="preserve"> ADDIN ZOTERO_ITEM CSL_CITATION {"citationID":"IOkYirrP","properties":{"formattedCitation":"(Dirks et al., 2015)","plainCitation":"(Dirks et al., 2015)","noteIndex":0},"citationItems":[{"id":2434,"uris":["http://zotero.org/users/11769009/items/QW4IBRWY"],"itemData":{"id":2434,"type":"article-journal","abstract":"This paper presents the results of numerous commercial and residential building simulations, with the purpose of examining the impact of climate change on peak and annual building energy consumption over the portion of the EIC (Eastern Interconnection) located in the United States. The climate change scenario considered includes changes in mean climate characteristics as well as changes in the frequency and duration of intense weather events. Simulations were performed using the BEND (Building ENergy Demand) model which is a detailed building analysis platform utilizing EnergyPlus™ as the simulation engine. Over 26,000 building configurations of different types, sizes, vintages, and characteristics representing the population of buildings within the EIC, are modeled across the three EIC time zones using the future climate from 100 target region locations, resulting in nearly 180,000 spatially relevant simulated demand profiles for three years selected to be representative of the general climate trend over the century. This approach provides a heretofore unprecedented level of specificity across multiple spectrums including spatial, temporal, and building characteristics. This capability enables the ability to perform detailed hourly impact studies of building adaptation and mitigation strategies on energy use and electricity peak demand within the context of the entire grid and economy.","container-title":"Energy","DOI":"10.1016/j.energy.2014.08.081","ISSN":"0360-5442","journalAbbreviation":"Energy","page":"20-32","source":"ScienceDirect","title":"Impacts of climate change on energy consumption and peak demand in buildings: A detailed regional approach","title-short":"Impacts of climate change on energy consumption and peak demand in buildings","volume":"79","author":[{"family":"Dirks","given":"James A."},{"family":"Gorrissen","given":"Willy J."},{"family":"Hathaway","given":"John H."},{"family":"Skorski","given":"Daniel C."},{"family":"Scott","given":"Michael J."},{"family":"Pulsipher","given":"Trenton C."},{"family":"Huang","given":"Maoyi"},{"family":"Liu","given":"Ying"},{"family":"Rice","given":"Jennie S."}],"issued":{"date-parts":[["2015",1,1]]}}}],"schema":"https://github.com/citation-style-language/schema/raw/master/csl-citation.json"} </w:instrText>
      </w:r>
      <w:r>
        <w:rPr>
          <w:rFonts w:hint="default" w:ascii="Times New Roman" w:hAnsi="Times New Roman" w:eastAsia="Segoe UI" w:cs="Times New Roman"/>
          <w:i w:val="0"/>
          <w:iCs w:val="0"/>
          <w:caps w:val="0"/>
          <w:color w:val="000000"/>
          <w:spacing w:val="0"/>
          <w:sz w:val="27"/>
          <w:szCs w:val="27"/>
          <w:shd w:val="clear" w:fill="F7FAFE"/>
        </w:rPr>
        <w:fldChar w:fldCharType="separate"/>
      </w:r>
      <w:r>
        <w:rPr>
          <w:rFonts w:hint="default" w:ascii="Times New Roman" w:hAnsi="Times New Roman" w:eastAsia="宋体" w:cs="Times New Roman"/>
          <w:sz w:val="27"/>
          <w:lang w:eastAsia="zh-CN"/>
        </w:rPr>
        <w:t xml:space="preserve">Dirks et al. </w:t>
      </w:r>
      <w:r>
        <w:rPr>
          <w:rFonts w:hint="default" w:ascii="Times New Roman" w:hAnsi="Times New Roman" w:eastAsia="宋体" w:cs="Times New Roman"/>
          <w:sz w:val="27"/>
          <w:lang w:eastAsia="zh-CN"/>
        </w:rPr>
        <w:t>(</w:t>
      </w:r>
      <w:r>
        <w:rPr>
          <w:rFonts w:hint="default" w:ascii="Times New Roman" w:hAnsi="Times New Roman" w:eastAsia="宋体" w:cs="Times New Roman"/>
          <w:sz w:val="27"/>
          <w:lang w:eastAsia="zh-CN"/>
        </w:rPr>
        <w:t>2015)</w:t>
      </w:r>
      <w:r>
        <w:rPr>
          <w:rFonts w:hint="default" w:ascii="Times New Roman" w:hAnsi="Times New Roman" w:eastAsia="Segoe UI" w:cs="Times New Roman"/>
          <w:i w:val="0"/>
          <w:iCs w:val="0"/>
          <w:caps w:val="0"/>
          <w:color w:val="000000"/>
          <w:spacing w:val="0"/>
          <w:sz w:val="27"/>
          <w:szCs w:val="27"/>
          <w:shd w:val="clear" w:fill="F7FAFE"/>
        </w:rPr>
        <w:fldChar w:fldCharType="end"/>
      </w:r>
      <w:r>
        <w:rPr>
          <w:rFonts w:hint="default" w:ascii="Times New Roman" w:hAnsi="Times New Roman" w:eastAsia="Segoe UI" w:cs="Times New Roman"/>
          <w:i w:val="0"/>
          <w:iCs w:val="0"/>
          <w:caps w:val="0"/>
          <w:color w:val="000000"/>
          <w:spacing w:val="0"/>
          <w:sz w:val="27"/>
          <w:szCs w:val="27"/>
          <w:shd w:val="clear" w:fill="F7FAFE"/>
        </w:rPr>
        <w:t>通过区域性模拟，研究了气温升高对建筑年度与峰值能源需求的不同影响。特别是东部电力互联区（EIC）的研究结果表明，连续热浪导致峰值电力需求有显著增长，系统承载力逼近极限。</w:t>
      </w:r>
      <w:r>
        <w:rPr>
          <w:rFonts w:hint="default" w:ascii="Times New Roman" w:hAnsi="Times New Roman" w:eastAsia="Segoe UI" w:cs="Times New Roman"/>
          <w:i w:val="0"/>
          <w:iCs w:val="0"/>
          <w:caps w:val="0"/>
          <w:color w:val="000000"/>
          <w:spacing w:val="0"/>
          <w:sz w:val="27"/>
          <w:szCs w:val="27"/>
          <w:shd w:val="clear" w:fill="F7FAFE"/>
        </w:rPr>
        <w:fldChar w:fldCharType="begin"/>
      </w:r>
      <w:r>
        <w:rPr>
          <w:rFonts w:hint="eastAsia" w:ascii="Times New Roman" w:hAnsi="Times New Roman" w:eastAsia="宋体" w:cs="Times New Roman"/>
          <w:i w:val="0"/>
          <w:iCs w:val="0"/>
          <w:caps w:val="0"/>
          <w:color w:val="000000"/>
          <w:spacing w:val="0"/>
          <w:sz w:val="27"/>
          <w:szCs w:val="27"/>
          <w:shd w:val="clear" w:fill="F7FAFE"/>
          <w:lang w:eastAsia="zh-CN"/>
        </w:rPr>
        <w:instrText xml:space="preserve"> ADDIN ZOTERO_ITEM CSL_CITATION {"citationID":"dsq9ebee","properties":{"formattedCitation":"(Xu et al., 2024)","plainCitation":"(Xu et al., 2024)","dontUpdate":true,"noteIndex":0},"citationItems":[{"id":2436,"uris":["http://zotero.org/users/11769009/items/EWF4XI8X"],"itemData":{"id":2436,"type":"article-journal","abstract":"The Chinese government has announced ambitious carbon reduction goals to address climate change, however, there has been limited scientific attention to the achievement of deep decarbonization in regions with insufficient economic development. Moreover, the complex impacts of climate change mitigation on energy system, environment and economic development remain unclear in Northwest China. Here we construct a comprehensive evaluation model system to evaluate the effects of different climate mitigation pathways in Qinghai, Ningxia, Gansu and Xinjiang provinces. Results show that the four provinces need to vigorously increase the share of electricity that consumed in final energy to 53.1–60.0% and 52.9–62.0% for 2 °C and 1.5 °C target, respectively, and reduce total energy demand to 11.6–44.4 Mtoe and 8.2–34.1 Mtoe in 2050. Meanwhile, the CO2 emissions for their energy systems will reach peak by 2025 at lower values. Moreover, the synergies of CO2 reduction are most conducive to abating SO2 pollution and also contributing to decreasing PM2.5 concentrations. Additionally, the GDP losses in 2050 fluctuate from 5.0 to 21.7 billion USD in the 2 °C scenario to 11.5–52.7 billion USD in the 1.5 °C scenario. Our study provides practical guidance on achieving carbon reductions in less developed regions of China and lays foundations to promote decarbonization of energy systems in other provinces.","container-title":"Applied Energy","DOI":"10.1016/j.apenergy.2023.122547","ISSN":"0306-2619","journalAbbreviation":"Applied Energy","page":"122547","source":"ScienceDirect","title":"Energy-related carbon emission reduction pathways in Northwest China towards carbon neutrality goal","volume":"358","author":[{"family":"Xu","given":"Meng"},{"family":"Zhang","given":"Silu"},{"family":"Li","given":"Panwei"},{"family":"Weng","given":"Zhixiong"},{"family":"Xie","given":"Yang"},{"family":"Lan","given":"Yan"}],"issued":{"date-parts":[["2024",3,15]]}}}],"schema":"https://github.com/citation-style-language/schema/raw/master/csl-citation.json"} </w:instrText>
      </w:r>
      <w:r>
        <w:rPr>
          <w:rFonts w:hint="default" w:ascii="Times New Roman" w:hAnsi="Times New Roman" w:eastAsia="Segoe UI" w:cs="Times New Roman"/>
          <w:i w:val="0"/>
          <w:iCs w:val="0"/>
          <w:caps w:val="0"/>
          <w:color w:val="000000"/>
          <w:spacing w:val="0"/>
          <w:sz w:val="27"/>
          <w:szCs w:val="27"/>
          <w:shd w:val="clear" w:fill="F7FAFE"/>
        </w:rPr>
        <w:fldChar w:fldCharType="separate"/>
      </w:r>
      <w:r>
        <w:rPr>
          <w:rFonts w:hint="default" w:ascii="Times New Roman" w:hAnsi="Times New Roman" w:eastAsia="宋体" w:cs="Times New Roman"/>
          <w:sz w:val="27"/>
          <w:lang w:eastAsia="zh-CN"/>
        </w:rPr>
        <w:t xml:space="preserve">Xu et al. </w:t>
      </w:r>
      <w:r>
        <w:rPr>
          <w:rFonts w:hint="default" w:ascii="Times New Roman" w:hAnsi="Times New Roman" w:eastAsia="宋体" w:cs="Times New Roman"/>
          <w:sz w:val="27"/>
          <w:lang w:eastAsia="zh-CN"/>
        </w:rPr>
        <w:t>(</w:t>
      </w:r>
      <w:r>
        <w:rPr>
          <w:rFonts w:hint="default" w:ascii="Times New Roman" w:hAnsi="Times New Roman" w:eastAsia="宋体" w:cs="Times New Roman"/>
          <w:sz w:val="27"/>
          <w:lang w:eastAsia="zh-CN"/>
        </w:rPr>
        <w:t>2024)</w:t>
      </w:r>
      <w:r>
        <w:rPr>
          <w:rFonts w:hint="default" w:ascii="Times New Roman" w:hAnsi="Times New Roman" w:eastAsia="Segoe UI" w:cs="Times New Roman"/>
          <w:i w:val="0"/>
          <w:iCs w:val="0"/>
          <w:caps w:val="0"/>
          <w:color w:val="000000"/>
          <w:spacing w:val="0"/>
          <w:sz w:val="27"/>
          <w:szCs w:val="27"/>
          <w:shd w:val="clear" w:fill="F7FAFE"/>
        </w:rPr>
        <w:fldChar w:fldCharType="end"/>
      </w:r>
      <w:r>
        <w:rPr>
          <w:rFonts w:hint="default" w:ascii="Times New Roman" w:hAnsi="Times New Roman" w:eastAsia="Segoe UI" w:cs="Times New Roman"/>
          <w:i w:val="0"/>
          <w:iCs w:val="0"/>
          <w:caps w:val="0"/>
          <w:color w:val="000000"/>
          <w:spacing w:val="0"/>
          <w:sz w:val="27"/>
          <w:szCs w:val="27"/>
          <w:shd w:val="clear" w:fill="F7FAFE"/>
        </w:rPr>
        <w:t>探讨了西北中国低经济发展区域内气候政策如何应对能源峰值压力，对比了不同减排路径下的能源结构调整。研究显示，靠近沙漠区域的省份在热浪期间峰值负荷增长尤为严峻。</w:t>
      </w:r>
    </w:p>
    <w:p w14:paraId="5A8F58A4">
      <w:pPr>
        <w:numPr>
          <w:ilvl w:val="0"/>
          <w:numId w:val="2"/>
        </w:numPr>
        <w:ind w:left="0" w:leftChars="0" w:firstLine="0" w:firstLineChars="0"/>
        <w:rPr>
          <w:rFonts w:hint="default" w:ascii="Times New Roman" w:hAnsi="Times New Roman" w:eastAsia="Segoe UI" w:cs="Times New Roman"/>
          <w:b/>
          <w:bCs/>
          <w:i w:val="0"/>
          <w:iCs w:val="0"/>
          <w:caps w:val="0"/>
          <w:color w:val="000000"/>
          <w:spacing w:val="0"/>
          <w:sz w:val="27"/>
          <w:szCs w:val="27"/>
          <w:shd w:val="clear" w:fill="F7FAFE"/>
        </w:rPr>
      </w:pPr>
      <w:r>
        <w:rPr>
          <w:rFonts w:hint="default" w:ascii="Times New Roman" w:hAnsi="Times New Roman" w:eastAsia="Segoe UI" w:cs="Times New Roman"/>
          <w:b/>
          <w:bCs/>
          <w:i w:val="0"/>
          <w:iCs w:val="0"/>
          <w:caps w:val="0"/>
          <w:color w:val="000000"/>
          <w:spacing w:val="0"/>
          <w:sz w:val="27"/>
          <w:szCs w:val="27"/>
          <w:shd w:val="clear" w:fill="F7FAFE"/>
        </w:rPr>
        <w:t xml:space="preserve">建筑能效对能耗的调节作用 </w:t>
      </w:r>
    </w:p>
    <w:p w14:paraId="566AE6D2">
      <w:pPr>
        <w:numPr>
          <w:numId w:val="0"/>
        </w:numPr>
        <w:ind w:leftChars="0" w:firstLine="540" w:firstLineChars="200"/>
        <w:rPr>
          <w:rFonts w:hint="default" w:ascii="Times New Roman" w:hAnsi="Times New Roman" w:eastAsia="Segoe UI" w:cs="Times New Roman"/>
          <w:i w:val="0"/>
          <w:iCs w:val="0"/>
          <w:caps w:val="0"/>
          <w:color w:val="000000"/>
          <w:spacing w:val="0"/>
          <w:sz w:val="27"/>
          <w:szCs w:val="27"/>
          <w:shd w:val="clear" w:fill="F7FAFE"/>
        </w:rPr>
      </w:pPr>
      <w:r>
        <w:rPr>
          <w:rFonts w:hint="default" w:ascii="Times New Roman" w:hAnsi="Times New Roman" w:eastAsia="Segoe UI" w:cs="Times New Roman"/>
          <w:i w:val="0"/>
          <w:iCs w:val="0"/>
          <w:caps w:val="0"/>
          <w:color w:val="000000"/>
          <w:spacing w:val="0"/>
          <w:sz w:val="27"/>
          <w:szCs w:val="27"/>
          <w:shd w:val="clear" w:fill="F7FAFE"/>
        </w:rPr>
        <w:t>建筑设计（如隔热性能、通风方案）是应对气候变化的重要工具。研究发现，采用高效能建筑材料或改良供暖制冷系统，可显著降低气候引发的能耗波动。例如，通过建筑改造减少散热损失，提高夏季遮阳技术，能有效缓解能耗压力</w:t>
      </w:r>
      <w:r>
        <w:rPr>
          <w:rFonts w:hint="default" w:ascii="Times New Roman" w:hAnsi="Times New Roman" w:eastAsia="Segoe UI" w:cs="Times New Roman"/>
          <w:i w:val="0"/>
          <w:iCs w:val="0"/>
          <w:caps w:val="0"/>
          <w:color w:val="000000"/>
          <w:spacing w:val="0"/>
          <w:sz w:val="27"/>
          <w:szCs w:val="27"/>
          <w:shd w:val="clear" w:fill="F7FAFE"/>
        </w:rPr>
        <w:fldChar w:fldCharType="begin"/>
      </w:r>
      <w:r>
        <w:rPr>
          <w:rFonts w:hint="eastAsia" w:ascii="Times New Roman" w:hAnsi="Times New Roman" w:eastAsia="宋体" w:cs="Times New Roman"/>
          <w:i w:val="0"/>
          <w:iCs w:val="0"/>
          <w:caps w:val="0"/>
          <w:color w:val="000000"/>
          <w:spacing w:val="0"/>
          <w:sz w:val="27"/>
          <w:szCs w:val="27"/>
          <w:shd w:val="clear" w:fill="F7FAFE"/>
          <w:lang w:eastAsia="zh-CN"/>
        </w:rPr>
        <w:instrText xml:space="preserve"> ADDIN ZOTERO_ITEM CSL_CITATION {"citationID":"Qf8r8Yiq","properties":{"formattedCitation":"(Dirks et al., 2015)","plainCitation":"(Dirks et al., 2015)","noteIndex":0},"citationItems":[{"id":2434,"uris":["http://zotero.org/users/11769009/items/QW4IBRWY"],"itemData":{"id":2434,"type":"article-journal","abstract":"This paper presents the results of numerous commercial and residential building simulations, with the purpose of examining the impact of climate change on peak and annual building energy consumption over the portion of the EIC (Eastern Interconnection) located in the United States. The climate change scenario considered includes changes in mean climate characteristics as well as changes in the frequency and duration of intense weather events. Simulations were performed using the BEND (Building ENergy Demand) model which is a detailed building analysis platform utilizing EnergyPlus™ as the simulation engine. Over 26,000 building configurations of different types, sizes, vintages, and characteristics representing the population of buildings within the EIC, are modeled across the three EIC time zones using the future climate from 100 target region locations, resulting in nearly 180,000 spatially relevant simulated demand profiles for three years selected to be representative of the general climate trend over the century. This approach provides a heretofore unprecedented level of specificity across multiple spectrums including spatial, temporal, and building characteristics. This capability enables the ability to perform detailed hourly impact studies of building adaptation and mitigation strategies on energy use and electricity peak demand within the context of the entire grid and economy.","container-title":"Energy","DOI":"10.1016/j.energy.2014.08.081","ISSN":"0360-5442","journalAbbreviation":"Energy","page":"20-32","source":"ScienceDirect","title":"Impacts of climate change on energy consumption and peak demand in buildings: A detailed regional approach","title-short":"Impacts of climate change on energy consumption and peak demand in buildings","volume":"79","author":[{"family":"Dirks","given":"James A."},{"family":"Gorrissen","given":"Willy J."},{"family":"Hathaway","given":"John H."},{"family":"Skorski","given":"Daniel C."},{"family":"Scott","given":"Michael J."},{"family":"Pulsipher","given":"Trenton C."},{"family":"Huang","given":"Maoyi"},{"family":"Liu","given":"Ying"},{"family":"Rice","given":"Jennie S."}],"issued":{"date-parts":[["2015",1,1]]}}}],"schema":"https://github.com/citation-style-language/schema/raw/master/csl-citation.json"} </w:instrText>
      </w:r>
      <w:r>
        <w:rPr>
          <w:rFonts w:hint="default" w:ascii="Times New Roman" w:hAnsi="Times New Roman" w:eastAsia="Segoe UI" w:cs="Times New Roman"/>
          <w:i w:val="0"/>
          <w:iCs w:val="0"/>
          <w:caps w:val="0"/>
          <w:color w:val="000000"/>
          <w:spacing w:val="0"/>
          <w:sz w:val="27"/>
          <w:szCs w:val="27"/>
          <w:shd w:val="clear" w:fill="F7FAFE"/>
        </w:rPr>
        <w:fldChar w:fldCharType="separate"/>
      </w:r>
      <w:r>
        <w:rPr>
          <w:rFonts w:hint="default" w:ascii="Times New Roman" w:hAnsi="Times New Roman" w:eastAsia="宋体" w:cs="Times New Roman"/>
          <w:sz w:val="27"/>
          <w:lang w:eastAsia="zh-CN"/>
        </w:rPr>
        <w:t>(Dirks et al., 2015)</w:t>
      </w:r>
      <w:r>
        <w:rPr>
          <w:rFonts w:hint="default" w:ascii="Times New Roman" w:hAnsi="Times New Roman" w:eastAsia="Segoe UI" w:cs="Times New Roman"/>
          <w:i w:val="0"/>
          <w:iCs w:val="0"/>
          <w:caps w:val="0"/>
          <w:color w:val="000000"/>
          <w:spacing w:val="0"/>
          <w:sz w:val="27"/>
          <w:szCs w:val="27"/>
          <w:shd w:val="clear" w:fill="F7FAFE"/>
        </w:rPr>
        <w:fldChar w:fldCharType="end"/>
      </w:r>
      <w:r>
        <w:rPr>
          <w:rFonts w:hint="default" w:ascii="Times New Roman" w:hAnsi="Times New Roman" w:eastAsia="Segoe UI" w:cs="Times New Roman"/>
          <w:i w:val="0"/>
          <w:iCs w:val="0"/>
          <w:caps w:val="0"/>
          <w:color w:val="000000"/>
          <w:spacing w:val="0"/>
          <w:sz w:val="27"/>
          <w:szCs w:val="27"/>
          <w:shd w:val="clear" w:fill="F7FAFE"/>
        </w:rPr>
        <w:t xml:space="preserve">。  </w:t>
      </w:r>
    </w:p>
    <w:p w14:paraId="0F3AC9AE">
      <w:pPr>
        <w:numPr>
          <w:ilvl w:val="0"/>
          <w:numId w:val="2"/>
        </w:numPr>
        <w:ind w:left="0" w:leftChars="0" w:firstLine="0" w:firstLineChars="0"/>
        <w:rPr>
          <w:rFonts w:hint="default" w:ascii="Times New Roman" w:hAnsi="Times New Roman" w:eastAsia="Segoe UI" w:cs="Times New Roman"/>
          <w:b/>
          <w:bCs/>
          <w:i w:val="0"/>
          <w:iCs w:val="0"/>
          <w:caps w:val="0"/>
          <w:color w:val="000000"/>
          <w:spacing w:val="0"/>
          <w:sz w:val="27"/>
          <w:szCs w:val="27"/>
          <w:shd w:val="clear" w:fill="F7FAFE"/>
        </w:rPr>
      </w:pPr>
      <w:r>
        <w:rPr>
          <w:rFonts w:hint="default" w:ascii="Times New Roman" w:hAnsi="Times New Roman" w:eastAsia="Segoe UI" w:cs="Times New Roman"/>
          <w:b/>
          <w:bCs/>
          <w:i w:val="0"/>
          <w:iCs w:val="0"/>
          <w:caps w:val="0"/>
          <w:color w:val="000000"/>
          <w:spacing w:val="0"/>
          <w:sz w:val="27"/>
          <w:szCs w:val="27"/>
          <w:shd w:val="clear" w:fill="F7FAFE"/>
        </w:rPr>
        <w:t xml:space="preserve">能源结构的转型 </w:t>
      </w:r>
    </w:p>
    <w:p w14:paraId="23E5C368">
      <w:pPr>
        <w:numPr>
          <w:numId w:val="0"/>
        </w:numPr>
        <w:ind w:leftChars="0"/>
        <w:rPr>
          <w:rFonts w:hint="default" w:ascii="Times New Roman" w:hAnsi="Times New Roman" w:eastAsia="Segoe UI" w:cs="Times New Roman"/>
          <w:i w:val="0"/>
          <w:iCs w:val="0"/>
          <w:caps w:val="0"/>
          <w:color w:val="000000"/>
          <w:spacing w:val="0"/>
          <w:sz w:val="27"/>
          <w:szCs w:val="27"/>
          <w:shd w:val="clear" w:fill="F7FAFE"/>
        </w:rPr>
      </w:pPr>
      <w:r>
        <w:rPr>
          <w:rFonts w:hint="default" w:ascii="Times New Roman" w:hAnsi="Times New Roman" w:eastAsia="Segoe UI" w:cs="Times New Roman"/>
          <w:b/>
          <w:bCs/>
          <w:i w:val="0"/>
          <w:iCs w:val="0"/>
          <w:caps w:val="0"/>
          <w:color w:val="000000"/>
          <w:spacing w:val="0"/>
          <w:sz w:val="27"/>
          <w:szCs w:val="27"/>
          <w:shd w:val="clear" w:fill="F7FAFE"/>
        </w:rPr>
        <w:t>极端气候引发家庭能源结构调整</w:t>
      </w:r>
      <w:r>
        <w:rPr>
          <w:rFonts w:hint="default" w:ascii="Times New Roman" w:hAnsi="Times New Roman" w:eastAsia="Segoe UI" w:cs="Times New Roman"/>
          <w:i w:val="0"/>
          <w:iCs w:val="0"/>
          <w:caps w:val="0"/>
          <w:color w:val="000000"/>
          <w:spacing w:val="0"/>
          <w:sz w:val="27"/>
          <w:szCs w:val="27"/>
          <w:shd w:val="clear" w:fill="F7FAFE"/>
        </w:rPr>
        <w:t>。例如，在频繁高温或寒潮刺激下，一些家庭可能自主选择清洁能源（如太阳能光伏系统）以降低化石能源依赖</w:t>
      </w:r>
      <w:r>
        <w:rPr>
          <w:rFonts w:hint="default" w:ascii="Times New Roman" w:hAnsi="Times New Roman" w:eastAsia="Segoe UI" w:cs="Times New Roman"/>
          <w:i w:val="0"/>
          <w:iCs w:val="0"/>
          <w:caps w:val="0"/>
          <w:color w:val="000000"/>
          <w:spacing w:val="0"/>
          <w:sz w:val="27"/>
          <w:szCs w:val="27"/>
          <w:shd w:val="clear" w:fill="F7FAFE"/>
        </w:rPr>
        <w:fldChar w:fldCharType="begin"/>
      </w:r>
      <w:r>
        <w:rPr>
          <w:rFonts w:hint="eastAsia" w:ascii="Times New Roman" w:hAnsi="Times New Roman" w:eastAsia="宋体" w:cs="Times New Roman"/>
          <w:i w:val="0"/>
          <w:iCs w:val="0"/>
          <w:caps w:val="0"/>
          <w:color w:val="000000"/>
          <w:spacing w:val="0"/>
          <w:sz w:val="27"/>
          <w:szCs w:val="27"/>
          <w:shd w:val="clear" w:fill="F7FAFE"/>
          <w:lang w:eastAsia="zh-CN"/>
        </w:rPr>
        <w:instrText xml:space="preserve"> ADDIN ZOTERO_ITEM CSL_CITATION {"citationID":"ZIYTwi8d","properties":{"formattedCitation":"(Zhou et al., 2014)","plainCitation":"(Zhou et al., 2014)","noteIndex":0},"citationItems":[{"id":2438,"uris":["http://zotero.org/users/11769009/items/LRIM4TBB"],"itemData":{"id":2438,"type":"article-journal","abstract":"Objective\nBecause long-term socioeconomic transformation and energy service expansion show large spatial heterogeneity, advanced understanding of climate change impact on buildings energy use at the sub-national level will offer useful insights into climate policy and regional energy system planning.\nMethods\nIn this study, we present a detailed buildings energy model with U.S. state-level representation, nested in an integrated assessment framework of the Global Change Assessment Model (GCAM). We project state-level buildings energy demand and its spatial pattern through the end of the century, considering the impact of climate change based on the estimates of heating and cooling degree days derived from downscaled USGS CASCaDE temperature data.\nResults\nThe results indicate that climate change has a large impact on heating and cooling buildings energy and fuel use at the state level and that the 48 U.S. contiguous states exhibit a large spatial heterogeneity (ranges from −10% to+10% for total, −10% to+20% for electricity use and −20% to −5% for oil and gas use in the A2 scenario). Sensitivity analysis explores the potential implications of multiple driving forces, including climate action that would both change the price of energy and reduce climate change, the choice of climate models, and population and GDP growth. In addition, the 50-state building model is compared to a comparable version of the model which represents the entire United States as one region.\nConclusions\nThe study clearly demonstrates the spatially varying nature of fuel consumption changes that might occur from a changing climate. Although the study illustrates the importance of incorporating climate change into infrastructure-planning exercises, it also demonstrates that uncertainties about underlying drivers still must weigh heavily on these planning decisions. Finally, the study demonstrates that the 50-state building model provides both insights at the regional level and potentially better national-level estimates.\nPractice implication\nThe findings from this study will help the climate-based policy decision and energy system, especially utility planning related to the buildings sector at the U.S. state and regional level facing the potential climate change.","container-title":"Applied Energy","DOI":"10.1016/j.apenergy.2013.08.034","ISSN":"0306-2619","journalAbbreviation":"Applied Energy","page":"1077-1088","source":"ScienceDirect","title":"Modeling the effect of climate change on U.S. state-level buildings energy demands in an integrated assessment framework","volume":"113","author":[{"family":"Zhou","given":"Yuyu"},{"family":"Clarke","given":"Leon"},{"family":"Eom","given":"Jiyong"},{"family":"Kyle","given":"Page"},{"family":"Patel","given":"Pralit"},{"family":"Kim","given":"Son H."},{"family":"Dirks","given":"James"},{"family":"Jensen","given":"Erik"},{"family":"Liu","given":"Ying"},{"family":"Rice","given":"Jennie"},{"family":"Schmidt","given":"Laurel"},{"family":"Seiple","given":"Timothy"}],"issued":{"date-parts":[["2014",1,1]]}}}],"schema":"https://github.com/citation-style-language/schema/raw/master/csl-citation.json"} </w:instrText>
      </w:r>
      <w:r>
        <w:rPr>
          <w:rFonts w:hint="default" w:ascii="Times New Roman" w:hAnsi="Times New Roman" w:eastAsia="Segoe UI" w:cs="Times New Roman"/>
          <w:i w:val="0"/>
          <w:iCs w:val="0"/>
          <w:caps w:val="0"/>
          <w:color w:val="000000"/>
          <w:spacing w:val="0"/>
          <w:sz w:val="27"/>
          <w:szCs w:val="27"/>
          <w:shd w:val="clear" w:fill="F7FAFE"/>
        </w:rPr>
        <w:fldChar w:fldCharType="separate"/>
      </w:r>
      <w:r>
        <w:rPr>
          <w:rFonts w:hint="default" w:ascii="Times New Roman" w:hAnsi="Times New Roman" w:eastAsia="宋体" w:cs="Times New Roman"/>
          <w:sz w:val="27"/>
          <w:lang w:eastAsia="zh-CN"/>
        </w:rPr>
        <w:t>(Zhou et al., 2014)</w:t>
      </w:r>
      <w:r>
        <w:rPr>
          <w:rFonts w:hint="default" w:ascii="Times New Roman" w:hAnsi="Times New Roman" w:eastAsia="Segoe UI" w:cs="Times New Roman"/>
          <w:i w:val="0"/>
          <w:iCs w:val="0"/>
          <w:caps w:val="0"/>
          <w:color w:val="000000"/>
          <w:spacing w:val="0"/>
          <w:sz w:val="27"/>
          <w:szCs w:val="27"/>
          <w:shd w:val="clear" w:fill="F7FAFE"/>
        </w:rPr>
        <w:fldChar w:fldCharType="end"/>
      </w:r>
      <w:r>
        <w:rPr>
          <w:rFonts w:hint="default" w:ascii="Times New Roman" w:hAnsi="Times New Roman" w:eastAsia="Segoe UI" w:cs="Times New Roman"/>
          <w:i w:val="0"/>
          <w:iCs w:val="0"/>
          <w:caps w:val="0"/>
          <w:color w:val="000000"/>
          <w:spacing w:val="0"/>
          <w:sz w:val="27"/>
          <w:szCs w:val="27"/>
          <w:shd w:val="clear" w:fill="F7FAFE"/>
        </w:rPr>
        <w:t xml:space="preserve">。 </w:t>
      </w:r>
      <w:r>
        <w:rPr>
          <w:rFonts w:hint="default" w:ascii="Times New Roman" w:hAnsi="Times New Roman" w:eastAsia="Segoe UI" w:cs="Times New Roman"/>
          <w:i w:val="0"/>
          <w:iCs w:val="0"/>
          <w:caps w:val="0"/>
          <w:color w:val="000000"/>
          <w:spacing w:val="0"/>
          <w:sz w:val="27"/>
          <w:szCs w:val="27"/>
          <w:shd w:val="clear" w:fill="F7FAFE"/>
        </w:rPr>
        <w:fldChar w:fldCharType="begin"/>
      </w:r>
      <w:r>
        <w:rPr>
          <w:rFonts w:hint="eastAsia" w:ascii="Times New Roman" w:hAnsi="Times New Roman" w:eastAsia="宋体" w:cs="Times New Roman"/>
          <w:i w:val="0"/>
          <w:iCs w:val="0"/>
          <w:caps w:val="0"/>
          <w:color w:val="000000"/>
          <w:spacing w:val="0"/>
          <w:sz w:val="27"/>
          <w:szCs w:val="27"/>
          <w:shd w:val="clear" w:fill="F7FAFE"/>
          <w:lang w:eastAsia="zh-CN"/>
        </w:rPr>
        <w:instrText xml:space="preserve"> ADDIN ZOTERO_ITEM CSL_CITATION {"citationID":"LICZbJ3F","properties":{"formattedCitation":"(Cao et al., 2017)","plainCitation":"(Cao et al., 2017)","noteIndex":0},"citationItems":[{"id":2440,"uris":["http://zotero.org/users/11769009/items/PWERWCL9"],"itemData":{"id":2440,"type":"article-journal","abstract":"Meteorological parameters are the basis for building energy-saving design and operation of Heating, Ventilation and Air Conditioning systems (HVAC). In this study, changes in meteorological parameters of Harbin, Tianjin, Kunming, Shanghai, and Guangzhou, representing the five major climate zones of China, were analyzed to determine the effects of climate change on meteorological parameters. The results demonstrated that outdoor design temperatures for heating or air-conditioning significantly increased in all five climate zones. The increasing rate of design temperatures for both heating and air-conditioning in winter were in the range of 0.2°C–0.7°C/decade, and the rate of design temperature for air-conditioning in summer was in the range of 0.1°C–0.4°C/decade. The design load was calculated by outdoor design temperature. Compared with the design load during 1961–1990, the heating design load decreased 2.8% and 4.4% in Harbin and Tianjin during 1981–2010, respectively. The design load for air-conditioning in winter decreased 1.7%, 1.4%, 2.4% and 3.2% in Harbin, Tianjin, Shanghai and Guangzhou, respectively. By contrast, design load for air-conditioning in summer during 1981–2010 increased 0.8%, 1.1%, 2.9% and 2.2% in Harbin, Tianjin, Shanghai and Guangzhou, respectively. On average, the effect of climate change on design loads is more intense in winter than summer, which may be beneficial for building energy-saving design. The results in this study suggest that climate change has evident effects on design meteorological parameters and design load. It is necessary to note that responses of design meteorological parameters to climate change are apparently different in five climate zones. Hence, different design strategies for building energy-saving should be considered appropriately according to different climate change characteristics in different climate zones.","container-title":"Energy and Buildings","DOI":"10.1016/j.enbuild.2017.04.045","ISSN":"0378-7788","journalAbbreviation":"Energy and Buildings","page":"65-72","source":"ScienceDirect","title":"Effects of climate change on outdoor meteorological parameters for building energy-saving design in the different climate zones of China","volume":"146","author":[{"family":"Cao","given":"Jingfu"},{"family":"Li","given":"Mingcai"},{"family":"Wang","given":"Min"},{"family":"Xiong","given":"Mingming"},{"family":"Meng","given":"Fanchao"}],"issued":{"date-parts":[["2017",7,1]]}}}],"schema":"https://github.com/citation-style-language/schema/raw/master/csl-citation.json"} </w:instrText>
      </w:r>
      <w:r>
        <w:rPr>
          <w:rFonts w:hint="default" w:ascii="Times New Roman" w:hAnsi="Times New Roman" w:eastAsia="Segoe UI" w:cs="Times New Roman"/>
          <w:i w:val="0"/>
          <w:iCs w:val="0"/>
          <w:caps w:val="0"/>
          <w:color w:val="000000"/>
          <w:spacing w:val="0"/>
          <w:sz w:val="27"/>
          <w:szCs w:val="27"/>
          <w:shd w:val="clear" w:fill="F7FAFE"/>
        </w:rPr>
        <w:fldChar w:fldCharType="separate"/>
      </w:r>
      <w:r>
        <w:rPr>
          <w:rFonts w:hint="default" w:ascii="Times New Roman" w:hAnsi="Times New Roman" w:eastAsia="宋体" w:cs="Times New Roman"/>
          <w:sz w:val="27"/>
          <w:lang w:eastAsia="zh-CN"/>
        </w:rPr>
        <w:t xml:space="preserve">Cao et al. </w:t>
      </w:r>
      <w:r>
        <w:rPr>
          <w:rFonts w:hint="default" w:ascii="Times New Roman" w:hAnsi="Times New Roman" w:eastAsia="宋体" w:cs="Times New Roman"/>
          <w:sz w:val="27"/>
          <w:lang w:eastAsia="zh-CN"/>
        </w:rPr>
        <w:t>(</w:t>
      </w:r>
      <w:r>
        <w:rPr>
          <w:rFonts w:hint="default" w:ascii="Times New Roman" w:hAnsi="Times New Roman" w:eastAsia="宋体" w:cs="Times New Roman"/>
          <w:sz w:val="27"/>
          <w:lang w:eastAsia="zh-CN"/>
        </w:rPr>
        <w:t>2017)</w:t>
      </w:r>
      <w:r>
        <w:rPr>
          <w:rFonts w:hint="default" w:ascii="Times New Roman" w:hAnsi="Times New Roman" w:eastAsia="Segoe UI" w:cs="Times New Roman"/>
          <w:i w:val="0"/>
          <w:iCs w:val="0"/>
          <w:caps w:val="0"/>
          <w:color w:val="000000"/>
          <w:spacing w:val="0"/>
          <w:sz w:val="27"/>
          <w:szCs w:val="27"/>
          <w:shd w:val="clear" w:fill="F7FAFE"/>
        </w:rPr>
        <w:fldChar w:fldCharType="end"/>
      </w:r>
      <w:r>
        <w:rPr>
          <w:rFonts w:hint="default" w:ascii="Times New Roman" w:hAnsi="Times New Roman" w:eastAsia="Segoe UI" w:cs="Times New Roman"/>
          <w:i w:val="0"/>
          <w:iCs w:val="0"/>
          <w:caps w:val="0"/>
          <w:color w:val="000000"/>
          <w:spacing w:val="0"/>
          <w:sz w:val="27"/>
          <w:szCs w:val="27"/>
          <w:shd w:val="clear" w:fill="F7FAFE"/>
        </w:rPr>
        <w:t>探索五个中国主要气候区的气候变化对建筑节能设计需求的影响，强调了智能温控技术对提升家庭</w:t>
      </w:r>
      <w:r>
        <w:rPr>
          <w:rFonts w:hint="eastAsia" w:ascii="Times New Roman" w:hAnsi="Times New Roman" w:eastAsia="宋体" w:cs="Times New Roman"/>
          <w:i w:val="0"/>
          <w:iCs w:val="0"/>
          <w:caps w:val="0"/>
          <w:color w:val="000000"/>
          <w:spacing w:val="0"/>
          <w:sz w:val="27"/>
          <w:szCs w:val="27"/>
          <w:shd w:val="clear" w:fill="F7FAFE"/>
          <w:lang w:val="en-US" w:eastAsia="zh-CN"/>
        </w:rPr>
        <w:t>能源效率</w:t>
      </w:r>
      <w:r>
        <w:rPr>
          <w:rFonts w:hint="default" w:ascii="Times New Roman" w:hAnsi="Times New Roman" w:eastAsia="Segoe UI" w:cs="Times New Roman"/>
          <w:i w:val="0"/>
          <w:iCs w:val="0"/>
          <w:caps w:val="0"/>
          <w:color w:val="000000"/>
          <w:spacing w:val="0"/>
          <w:sz w:val="27"/>
          <w:szCs w:val="27"/>
          <w:shd w:val="clear" w:fill="F7FAFE"/>
        </w:rPr>
        <w:t>的作用。</w:t>
      </w:r>
    </w:p>
    <w:p w14:paraId="7544097F">
      <w:pPr>
        <w:numPr>
          <w:numId w:val="0"/>
        </w:numPr>
        <w:ind w:leftChars="0"/>
        <w:rPr>
          <w:rFonts w:hint="default" w:ascii="Times New Roman" w:hAnsi="Times New Roman" w:eastAsia="Segoe UI" w:cs="Times New Roman"/>
          <w:i w:val="0"/>
          <w:iCs w:val="0"/>
          <w:caps w:val="0"/>
          <w:color w:val="000000"/>
          <w:spacing w:val="0"/>
          <w:sz w:val="27"/>
          <w:szCs w:val="27"/>
          <w:shd w:val="clear" w:fill="F7FAFE"/>
        </w:rPr>
      </w:pPr>
    </w:p>
    <w:p w14:paraId="1156EB75">
      <w:pPr>
        <w:numPr>
          <w:ilvl w:val="0"/>
          <w:numId w:val="1"/>
        </w:numPr>
        <w:ind w:left="0" w:leftChars="0" w:firstLine="0" w:firstLineChars="0"/>
        <w:rPr>
          <w:rFonts w:hint="default" w:ascii="Times New Roman" w:hAnsi="Times New Roman" w:eastAsia="Segoe UI" w:cs="Times New Roman"/>
          <w:i w:val="0"/>
          <w:iCs w:val="0"/>
          <w:caps w:val="0"/>
          <w:color w:val="000000"/>
          <w:spacing w:val="0"/>
          <w:sz w:val="27"/>
          <w:szCs w:val="27"/>
          <w:shd w:val="clear" w:fill="F7FAFE"/>
        </w:rPr>
      </w:pPr>
      <w:r>
        <w:rPr>
          <w:rFonts w:hint="default" w:ascii="Times New Roman" w:hAnsi="Times New Roman" w:eastAsia="Segoe UI" w:cs="Times New Roman"/>
          <w:b/>
          <w:bCs/>
          <w:i w:val="0"/>
          <w:iCs w:val="0"/>
          <w:caps w:val="0"/>
          <w:color w:val="000000"/>
          <w:spacing w:val="0"/>
          <w:sz w:val="27"/>
          <w:szCs w:val="27"/>
          <w:shd w:val="clear" w:fill="F7FAFE"/>
        </w:rPr>
        <w:t>绿色消费行为的驱动及阻碍因素</w:t>
      </w:r>
      <w:r>
        <w:rPr>
          <w:rFonts w:hint="default" w:ascii="Times New Roman" w:hAnsi="Times New Roman" w:eastAsia="Segoe UI" w:cs="Times New Roman"/>
          <w:i w:val="0"/>
          <w:iCs w:val="0"/>
          <w:caps w:val="0"/>
          <w:color w:val="000000"/>
          <w:spacing w:val="0"/>
          <w:sz w:val="27"/>
          <w:szCs w:val="27"/>
          <w:shd w:val="clear" w:fill="F7FAFE"/>
        </w:rPr>
        <w:t xml:space="preserve">  </w:t>
      </w:r>
    </w:p>
    <w:p w14:paraId="4F81E81E">
      <w:pPr>
        <w:numPr>
          <w:ilvl w:val="0"/>
          <w:numId w:val="3"/>
        </w:numPr>
        <w:ind w:leftChars="0"/>
        <w:rPr>
          <w:rFonts w:hint="default" w:ascii="Times New Roman" w:hAnsi="Times New Roman" w:eastAsia="Segoe UI" w:cs="Times New Roman"/>
          <w:i w:val="0"/>
          <w:iCs w:val="0"/>
          <w:caps w:val="0"/>
          <w:color w:val="000000"/>
          <w:spacing w:val="0"/>
          <w:sz w:val="27"/>
          <w:szCs w:val="27"/>
          <w:shd w:val="clear" w:fill="F7FAFE"/>
        </w:rPr>
      </w:pPr>
      <w:r>
        <w:rPr>
          <w:rFonts w:hint="default" w:ascii="Times New Roman" w:hAnsi="Times New Roman" w:eastAsia="Segoe UI" w:cs="Times New Roman"/>
          <w:b/>
          <w:bCs/>
          <w:i w:val="0"/>
          <w:iCs w:val="0"/>
          <w:caps w:val="0"/>
          <w:color w:val="000000"/>
          <w:spacing w:val="0"/>
          <w:sz w:val="27"/>
          <w:szCs w:val="27"/>
          <w:shd w:val="clear" w:fill="F7FAFE"/>
        </w:rPr>
        <w:t>心理与行为层面的影响</w:t>
      </w:r>
      <w:r>
        <w:rPr>
          <w:rFonts w:hint="default" w:ascii="Times New Roman" w:hAnsi="Times New Roman" w:eastAsia="Segoe UI" w:cs="Times New Roman"/>
          <w:i w:val="0"/>
          <w:iCs w:val="0"/>
          <w:caps w:val="0"/>
          <w:color w:val="000000"/>
          <w:spacing w:val="0"/>
          <w:sz w:val="27"/>
          <w:szCs w:val="27"/>
          <w:shd w:val="clear" w:fill="F7FAFE"/>
        </w:rPr>
        <w:t xml:space="preserve"> </w:t>
      </w:r>
    </w:p>
    <w:p w14:paraId="6F226A85">
      <w:pPr>
        <w:numPr>
          <w:numId w:val="0"/>
        </w:numPr>
        <w:ind w:firstLine="540" w:firstLineChars="200"/>
        <w:rPr>
          <w:rFonts w:hint="default" w:ascii="Times New Roman" w:hAnsi="Times New Roman" w:eastAsia="Segoe UI" w:cs="Times New Roman"/>
          <w:i w:val="0"/>
          <w:iCs w:val="0"/>
          <w:caps w:val="0"/>
          <w:color w:val="000000"/>
          <w:spacing w:val="0"/>
          <w:sz w:val="27"/>
          <w:szCs w:val="27"/>
          <w:shd w:val="clear" w:fill="F7FAFE"/>
        </w:rPr>
      </w:pPr>
      <w:r>
        <w:rPr>
          <w:rFonts w:hint="default" w:ascii="Times New Roman" w:hAnsi="Times New Roman" w:eastAsia="Segoe UI" w:cs="Times New Roman"/>
          <w:i w:val="0"/>
          <w:iCs w:val="0"/>
          <w:caps w:val="0"/>
          <w:color w:val="000000"/>
          <w:spacing w:val="0"/>
          <w:sz w:val="27"/>
          <w:szCs w:val="27"/>
          <w:shd w:val="clear" w:fill="F7FAFE"/>
        </w:rPr>
        <w:t>环境心理学研究表明，极端气候事件通常会提高公众对低碳绿色消费的认知。</w:t>
      </w:r>
      <w:r>
        <w:rPr>
          <w:rFonts w:hint="default" w:ascii="Times New Roman" w:hAnsi="Times New Roman" w:eastAsia="Segoe UI" w:cs="Times New Roman"/>
          <w:i w:val="0"/>
          <w:iCs w:val="0"/>
          <w:caps w:val="0"/>
          <w:color w:val="000000"/>
          <w:spacing w:val="0"/>
          <w:sz w:val="27"/>
          <w:szCs w:val="27"/>
          <w:shd w:val="clear" w:fill="F7FAFE"/>
        </w:rPr>
        <w:fldChar w:fldCharType="begin"/>
      </w:r>
      <w:r>
        <w:rPr>
          <w:rFonts w:hint="eastAsia" w:ascii="Times New Roman" w:hAnsi="Times New Roman" w:eastAsia="宋体" w:cs="Times New Roman"/>
          <w:i w:val="0"/>
          <w:iCs w:val="0"/>
          <w:caps w:val="0"/>
          <w:color w:val="000000"/>
          <w:spacing w:val="0"/>
          <w:sz w:val="27"/>
          <w:szCs w:val="27"/>
          <w:shd w:val="clear" w:fill="F7FAFE"/>
          <w:lang w:eastAsia="zh-CN"/>
        </w:rPr>
        <w:instrText xml:space="preserve"> ADDIN ZOTERO_ITEM CSL_CITATION {"citationID":"HCle1JIW","properties":{"formattedCitation":"(van Ruijven et al., 2019)","plainCitation":"(van Ruijven et al., 2019)","noteIndex":0},"citationItems":[{"id":2432,"uris":["http://zotero.org/users/11769009/items/LZQWIUGV"],"itemData":{"id":2432,"type":"article-journal","abstract":"Future energy demand is likely to increase due to climate change, but the magnitude depends on many interacting sources of uncertainty. We combine econometrically estimated responses of energy use to income, hot and cold days with future projections of spatial population and national income under five socioeconomic scenarios and temperature increases around 2050 for two emission scenarios simulated by 21 Earth System Models (ESMs). Here we show that, across 210 realizations of socioeconomic and climate scenarios, vigorous (moderate) warming increases global climate-exposed energy demand before adaptation around 2050 by 25–58% (11–27%), on top of a factor 1.7–2.8 increase above present-day due to socioeconomic developments. We find broad agreement among ESMs that energy demand rises by more than 25% in the tropics and southern regions of the USA, Europe and China. Socioeconomic scenarios vary widely in the number of people in low-income countries exposed to increases in energy demand.","container-title":"Nature Communications","DOI":"10.1038/s41467-019-10399-3","ISSN":"2041-1723","issue":"1","journalAbbreviation":"Nat Commun","language":"en","license":"2019 The Author(s)","note":"publisher: Nature Publishing Group","page":"2762","source":"www.nature.com","title":"Amplification of future energy demand growth due to climate change","volume":"10","author":[{"family":"Ruijven","given":"Bas J.","non-dropping-particle":"van"},{"family":"De Cian","given":"Enrica"},{"family":"Sue Wing","given":"Ian"}],"issued":{"date-parts":[["2019",6,24]]}}}],"schema":"https://github.com/citation-style-language/schema/raw/master/csl-citation.json"} </w:instrText>
      </w:r>
      <w:r>
        <w:rPr>
          <w:rFonts w:hint="default" w:ascii="Times New Roman" w:hAnsi="Times New Roman" w:eastAsia="Segoe UI" w:cs="Times New Roman"/>
          <w:i w:val="0"/>
          <w:iCs w:val="0"/>
          <w:caps w:val="0"/>
          <w:color w:val="000000"/>
          <w:spacing w:val="0"/>
          <w:sz w:val="27"/>
          <w:szCs w:val="27"/>
          <w:shd w:val="clear" w:fill="F7FAFE"/>
        </w:rPr>
        <w:fldChar w:fldCharType="separate"/>
      </w:r>
      <w:r>
        <w:rPr>
          <w:rFonts w:hint="eastAsia" w:ascii="Times New Roman" w:hAnsi="Times New Roman" w:eastAsia="宋体" w:cs="Times New Roman"/>
          <w:sz w:val="27"/>
          <w:lang w:val="en-US" w:eastAsia="zh-CN"/>
        </w:rPr>
        <w:t>V</w:t>
      </w:r>
      <w:r>
        <w:rPr>
          <w:rFonts w:hint="default" w:ascii="Times New Roman" w:hAnsi="Times New Roman" w:eastAsia="宋体" w:cs="Times New Roman"/>
          <w:sz w:val="27"/>
          <w:lang w:eastAsia="zh-CN"/>
        </w:rPr>
        <w:t>an Ruijven et al. (2019)</w:t>
      </w:r>
      <w:r>
        <w:rPr>
          <w:rFonts w:hint="default" w:ascii="Times New Roman" w:hAnsi="Times New Roman" w:eastAsia="Segoe UI" w:cs="Times New Roman"/>
          <w:i w:val="0"/>
          <w:iCs w:val="0"/>
          <w:caps w:val="0"/>
          <w:color w:val="000000"/>
          <w:spacing w:val="0"/>
          <w:sz w:val="27"/>
          <w:szCs w:val="27"/>
          <w:shd w:val="clear" w:fill="F7FAFE"/>
        </w:rPr>
        <w:fldChar w:fldCharType="end"/>
      </w:r>
      <w:r>
        <w:rPr>
          <w:rFonts w:hint="default" w:ascii="Times New Roman" w:hAnsi="Times New Roman" w:eastAsia="Segoe UI" w:cs="Times New Roman"/>
          <w:i w:val="0"/>
          <w:iCs w:val="0"/>
          <w:caps w:val="0"/>
          <w:color w:val="000000"/>
          <w:spacing w:val="0"/>
          <w:sz w:val="27"/>
          <w:szCs w:val="27"/>
          <w:shd w:val="clear" w:fill="F7FAFE"/>
        </w:rPr>
        <w:t xml:space="preserve">研究气候变化如何增强能源需求，特别关注高温天气背景下对空调等设备的依赖，以及温度升高过程中绿色节能意识和行为的变化。提出了一些激励绿色消费的政策建议。然而，这种行为驱动易受以下因素限制： </w:t>
      </w:r>
    </w:p>
    <w:p w14:paraId="4E0145DD">
      <w:pPr>
        <w:numPr>
          <w:numId w:val="0"/>
        </w:numPr>
        <w:ind w:firstLine="540" w:firstLineChars="200"/>
        <w:rPr>
          <w:rFonts w:hint="default" w:ascii="Times New Roman" w:hAnsi="Times New Roman" w:eastAsia="Segoe UI" w:cs="Times New Roman"/>
          <w:i w:val="0"/>
          <w:iCs w:val="0"/>
          <w:caps w:val="0"/>
          <w:color w:val="000000"/>
          <w:spacing w:val="0"/>
          <w:sz w:val="27"/>
          <w:szCs w:val="27"/>
          <w:shd w:val="clear" w:fill="F7FAFE"/>
        </w:rPr>
      </w:pPr>
      <w:r>
        <w:rPr>
          <w:rFonts w:hint="default" w:ascii="Times New Roman" w:hAnsi="Times New Roman" w:eastAsia="Segoe UI" w:cs="Times New Roman"/>
          <w:i w:val="0"/>
          <w:iCs w:val="0"/>
          <w:caps w:val="0"/>
          <w:color w:val="000000"/>
          <w:spacing w:val="0"/>
          <w:sz w:val="27"/>
          <w:szCs w:val="27"/>
          <w:shd w:val="clear" w:fill="F7FAFE"/>
        </w:rPr>
        <w:t xml:space="preserve"> 经济压力：极端天气可能因基础设施修复成本增加，导致家庭经济负担上升，反而对绿色消费形成抑制(Campagna &amp; Fiorito, 2022)(Fajilla et al., 2021)。 </w:t>
      </w:r>
    </w:p>
    <w:p w14:paraId="049071D2">
      <w:pPr>
        <w:numPr>
          <w:ilvl w:val="0"/>
          <w:numId w:val="3"/>
        </w:numPr>
        <w:ind w:left="0" w:leftChars="0" w:firstLine="0" w:firstLineChars="0"/>
        <w:rPr>
          <w:rFonts w:hint="default" w:ascii="Times New Roman" w:hAnsi="Times New Roman" w:eastAsia="Segoe UI" w:cs="Times New Roman"/>
          <w:i w:val="0"/>
          <w:iCs w:val="0"/>
          <w:caps w:val="0"/>
          <w:color w:val="000000"/>
          <w:spacing w:val="0"/>
          <w:sz w:val="27"/>
          <w:szCs w:val="27"/>
          <w:shd w:val="clear" w:fill="F7FAFE"/>
        </w:rPr>
      </w:pPr>
      <w:r>
        <w:rPr>
          <w:rFonts w:hint="default" w:ascii="Times New Roman" w:hAnsi="Times New Roman" w:eastAsia="Segoe UI" w:cs="Times New Roman"/>
          <w:b/>
          <w:bCs/>
          <w:i w:val="0"/>
          <w:iCs w:val="0"/>
          <w:caps w:val="0"/>
          <w:color w:val="000000"/>
          <w:spacing w:val="0"/>
          <w:sz w:val="27"/>
          <w:szCs w:val="27"/>
          <w:shd w:val="clear" w:fill="F7FAFE"/>
        </w:rPr>
        <w:t>技术采纳的适应性</w:t>
      </w:r>
      <w:r>
        <w:rPr>
          <w:rFonts w:hint="default" w:ascii="Times New Roman" w:hAnsi="Times New Roman" w:eastAsia="Segoe UI" w:cs="Times New Roman"/>
          <w:i w:val="0"/>
          <w:iCs w:val="0"/>
          <w:caps w:val="0"/>
          <w:color w:val="000000"/>
          <w:spacing w:val="0"/>
          <w:sz w:val="27"/>
          <w:szCs w:val="27"/>
          <w:shd w:val="clear" w:fill="F7FAFE"/>
        </w:rPr>
        <w:t xml:space="preserve"> 极端气候推动家庭采用适应性技术，如智能调温器、高效散热装置等。然而，技术普及受制于市场价格、补贴政策及居民认知水平。研究表明，鼓励家庭投资绿色技术需要同步提供经济激励（如税收减免）和技术支持(Kim &amp; Park, 2021)(Fajilla et al., 2021)。 </w:t>
      </w:r>
    </w:p>
    <w:p w14:paraId="404F13D6">
      <w:pPr>
        <w:numPr>
          <w:numId w:val="0"/>
        </w:numPr>
        <w:ind w:leftChars="0"/>
        <w:rPr>
          <w:rFonts w:hint="default" w:ascii="Times New Roman" w:hAnsi="Times New Roman" w:eastAsia="Segoe UI" w:cs="Times New Roman"/>
          <w:i w:val="0"/>
          <w:iCs w:val="0"/>
          <w:caps w:val="0"/>
          <w:color w:val="000000"/>
          <w:spacing w:val="0"/>
          <w:sz w:val="27"/>
          <w:szCs w:val="27"/>
          <w:shd w:val="clear" w:fill="F7FAFE"/>
        </w:rPr>
      </w:pPr>
    </w:p>
    <w:p w14:paraId="2F62C4ED">
      <w:pPr>
        <w:numPr>
          <w:ilvl w:val="0"/>
          <w:numId w:val="1"/>
        </w:numPr>
        <w:ind w:left="0" w:leftChars="0" w:firstLine="0" w:firstLineChars="0"/>
        <w:rPr>
          <w:rFonts w:hint="default" w:ascii="Times New Roman" w:hAnsi="Times New Roman" w:eastAsia="Segoe UI" w:cs="Times New Roman"/>
          <w:i w:val="0"/>
          <w:iCs w:val="0"/>
          <w:caps w:val="0"/>
          <w:color w:val="000000"/>
          <w:spacing w:val="0"/>
          <w:sz w:val="27"/>
          <w:szCs w:val="27"/>
          <w:shd w:val="clear" w:fill="F7FAFE"/>
        </w:rPr>
      </w:pPr>
      <w:r>
        <w:rPr>
          <w:rFonts w:hint="default" w:ascii="Times New Roman" w:hAnsi="Times New Roman" w:eastAsia="Segoe UI" w:cs="Times New Roman"/>
          <w:i w:val="0"/>
          <w:iCs w:val="0"/>
          <w:caps w:val="0"/>
          <w:color w:val="000000"/>
          <w:spacing w:val="0"/>
          <w:sz w:val="27"/>
          <w:szCs w:val="27"/>
          <w:shd w:val="clear" w:fill="F7FAFE"/>
        </w:rPr>
        <w:t xml:space="preserve">政策与群体特质对响应机制的调控影响  </w:t>
      </w:r>
    </w:p>
    <w:p w14:paraId="5196FF6C">
      <w:pPr>
        <w:numPr>
          <w:ilvl w:val="0"/>
          <w:numId w:val="4"/>
        </w:numPr>
        <w:ind w:leftChars="0"/>
        <w:rPr>
          <w:rFonts w:hint="default" w:ascii="Times New Roman" w:hAnsi="Times New Roman" w:eastAsia="Segoe UI" w:cs="Times New Roman"/>
          <w:i w:val="0"/>
          <w:iCs w:val="0"/>
          <w:caps w:val="0"/>
          <w:color w:val="000000"/>
          <w:spacing w:val="0"/>
          <w:sz w:val="27"/>
          <w:szCs w:val="27"/>
          <w:shd w:val="clear" w:fill="F7FAFE"/>
        </w:rPr>
      </w:pPr>
      <w:r>
        <w:rPr>
          <w:rFonts w:hint="default" w:ascii="Times New Roman" w:hAnsi="Times New Roman" w:eastAsia="Segoe UI" w:cs="Times New Roman"/>
          <w:b/>
          <w:bCs/>
          <w:i w:val="0"/>
          <w:iCs w:val="0"/>
          <w:caps w:val="0"/>
          <w:color w:val="000000"/>
          <w:spacing w:val="0"/>
          <w:sz w:val="27"/>
          <w:szCs w:val="27"/>
          <w:shd w:val="clear" w:fill="F7FAFE"/>
        </w:rPr>
        <w:t>政策引导的作用</w:t>
      </w:r>
      <w:r>
        <w:rPr>
          <w:rFonts w:hint="default" w:ascii="Times New Roman" w:hAnsi="Times New Roman" w:eastAsia="Segoe UI" w:cs="Times New Roman"/>
          <w:i w:val="0"/>
          <w:iCs w:val="0"/>
          <w:caps w:val="0"/>
          <w:color w:val="000000"/>
          <w:spacing w:val="0"/>
          <w:sz w:val="27"/>
          <w:szCs w:val="27"/>
          <w:shd w:val="clear" w:fill="F7FAFE"/>
        </w:rPr>
        <w:t xml:space="preserve"> </w:t>
      </w:r>
    </w:p>
    <w:p w14:paraId="0EF217FB">
      <w:pPr>
        <w:numPr>
          <w:numId w:val="0"/>
        </w:numPr>
        <w:rPr>
          <w:rFonts w:hint="default" w:ascii="Times New Roman" w:hAnsi="Times New Roman" w:eastAsia="Segoe UI" w:cs="Times New Roman"/>
          <w:i w:val="0"/>
          <w:iCs w:val="0"/>
          <w:caps w:val="0"/>
          <w:color w:val="000000"/>
          <w:spacing w:val="0"/>
          <w:sz w:val="27"/>
          <w:szCs w:val="27"/>
          <w:shd w:val="clear" w:fill="F7FAFE"/>
        </w:rPr>
      </w:pPr>
      <w:r>
        <w:rPr>
          <w:rFonts w:hint="default" w:ascii="Times New Roman" w:hAnsi="Times New Roman" w:eastAsia="Segoe UI" w:cs="Times New Roman"/>
          <w:i w:val="0"/>
          <w:iCs w:val="0"/>
          <w:caps w:val="0"/>
          <w:color w:val="000000"/>
          <w:spacing w:val="0"/>
          <w:sz w:val="27"/>
          <w:szCs w:val="27"/>
          <w:shd w:val="clear" w:fill="F7FAFE"/>
        </w:rPr>
        <w:t>气候政策与经济手段（如能源改造补贴、配额管理）可以放大极端天气驱动的家庭绿色消费转化效应。例如： 建筑能效改造政策：北欧国家通过严格建筑节能标准，在极端寒潮下显著减少了住宅采暖能源需求</w:t>
      </w:r>
      <w:r>
        <w:rPr>
          <w:rFonts w:hint="default" w:ascii="Times New Roman" w:hAnsi="Times New Roman" w:eastAsia="Segoe UI" w:cs="Times New Roman"/>
          <w:i w:val="0"/>
          <w:iCs w:val="0"/>
          <w:caps w:val="0"/>
          <w:color w:val="000000"/>
          <w:spacing w:val="0"/>
          <w:sz w:val="27"/>
          <w:szCs w:val="27"/>
          <w:shd w:val="clear" w:fill="F7FAFE"/>
        </w:rPr>
        <w:fldChar w:fldCharType="begin"/>
      </w:r>
      <w:r>
        <w:rPr>
          <w:rFonts w:hint="eastAsia" w:ascii="Times New Roman" w:hAnsi="Times New Roman" w:eastAsia="宋体" w:cs="Times New Roman"/>
          <w:i w:val="0"/>
          <w:iCs w:val="0"/>
          <w:caps w:val="0"/>
          <w:color w:val="000000"/>
          <w:spacing w:val="0"/>
          <w:sz w:val="27"/>
          <w:szCs w:val="27"/>
          <w:shd w:val="clear" w:fill="F7FAFE"/>
          <w:lang w:eastAsia="zh-CN"/>
        </w:rPr>
        <w:instrText xml:space="preserve"> ADDIN ZOTERO_ITEM CSL_CITATION {"citationID":"91Vmnk95","properties":{"formattedCitation":"(Jaku\\uc0\\u269{}ionyt\\uc0\\u279{}-Skodien\\uc0\\u279{} &amp; Liobikien\\uc0\\u279{}, 2023)","plainCitation":"(Jakučionytė-Skodienė &amp; Liobikienė, 2023)","noteIndex":0},"citationItems":[{"id":2444,"uris":["http://zotero.org/users/11769009/items/N4XL4KUW"],"itemData":{"id":2444,"type":"article-journal","abstract":"The increasing frequency of extreme weather events forced policymakers to take stricter commitments to mitigate climate change. The household sector, which is responsible for one-third of greenhouse gas (CO2) emissions is also important when mitigating climate change. However, there is still a lack of research which analyzes the changes in electricity and energy for heating consumption and CO2 emissions caused. Furthermore, the aim of this paper is to analyze the determinants such as: environmental awareness (knowledge about the environment, attitudes towards energy behavior, and pro-environmental behavior), climate change policy (renovations, choice of green electricity supplier) and social-demographic variables of electricity, energy for heating, electricity consumption and CO2 pollution caused in 2022 in Lithuania. The results showed that energy for heating consumption and CO2 emissions caused decreased significantly from 2017 to 2022. Meanwhile, electricity consumption increased but CO2 pollution caused changed insignificantly. From the main determinants, only education level significantly and negatively affected electricity consumption and its carbon dioxide emissions. Environmental knowledge and pro-environmental behavior significantly and positively influenced electricity consumption and its pollution. Energy consumption for heating significantly and negatively depended on education level, environmental knowledge, and renovation level. Meanwhile, renovation and choice of green electricity supplier significantly and negatively determined carbon dioxide emissions caused by energy consumption for heating. Thus, these results confirmed the importance of climate change policy implementation, particularly the promotion of renovation processes, and renewable energy consumption.","container-title":"Energy Policy","DOI":"10.1016/j.enpol.2023.113687","ISSN":"0301-4215","journalAbbreviation":"Energy Policy","page":"113687","source":"ScienceDirect","title":"Changes in energy consumption and CO2 emissions in the Lithuanian household sector caused by environmental awareness and climate change policy","volume":"180","author":[{"family":"Jakučionytė-Skodienė","given":"Miglė"},{"family":"Liobikienė","given":"Genovaitė"}],"issued":{"date-parts":[["2023",9,1]]}}}],"schema":"https://github.com/citation-style-language/schema/raw/master/csl-citation.json"} </w:instrText>
      </w:r>
      <w:r>
        <w:rPr>
          <w:rFonts w:hint="default" w:ascii="Times New Roman" w:hAnsi="Times New Roman" w:eastAsia="Segoe UI" w:cs="Times New Roman"/>
          <w:i w:val="0"/>
          <w:iCs w:val="0"/>
          <w:caps w:val="0"/>
          <w:color w:val="000000"/>
          <w:spacing w:val="0"/>
          <w:sz w:val="27"/>
          <w:szCs w:val="27"/>
          <w:shd w:val="clear" w:fill="F7FAFE"/>
        </w:rPr>
        <w:fldChar w:fldCharType="separate"/>
      </w:r>
      <w:r>
        <w:rPr>
          <w:rFonts w:hint="default" w:ascii="Times New Roman" w:hAnsi="Times New Roman" w:cs="Times New Roman"/>
          <w:sz w:val="27"/>
          <w:szCs w:val="24"/>
        </w:rPr>
        <w:t>(Jakučionytė-Skodienė &amp; Liobikienė, 2023)</w:t>
      </w:r>
      <w:r>
        <w:rPr>
          <w:rFonts w:hint="default" w:ascii="Times New Roman" w:hAnsi="Times New Roman" w:eastAsia="Segoe UI" w:cs="Times New Roman"/>
          <w:i w:val="0"/>
          <w:iCs w:val="0"/>
          <w:caps w:val="0"/>
          <w:color w:val="000000"/>
          <w:spacing w:val="0"/>
          <w:sz w:val="27"/>
          <w:szCs w:val="27"/>
          <w:shd w:val="clear" w:fill="F7FAFE"/>
        </w:rPr>
        <w:fldChar w:fldCharType="end"/>
      </w:r>
      <w:r>
        <w:rPr>
          <w:rFonts w:hint="default" w:ascii="Times New Roman" w:hAnsi="Times New Roman" w:eastAsia="Segoe UI" w:cs="Times New Roman"/>
          <w:i w:val="0"/>
          <w:iCs w:val="0"/>
          <w:caps w:val="0"/>
          <w:color w:val="000000"/>
          <w:spacing w:val="0"/>
          <w:sz w:val="27"/>
          <w:szCs w:val="27"/>
          <w:shd w:val="clear" w:fill="F7FAFE"/>
        </w:rPr>
        <w:t xml:space="preserve">。 </w:t>
      </w:r>
    </w:p>
    <w:p w14:paraId="7767ED7A">
      <w:pPr>
        <w:numPr>
          <w:ilvl w:val="0"/>
          <w:numId w:val="4"/>
        </w:numPr>
        <w:ind w:left="0" w:leftChars="0" w:firstLine="0" w:firstLineChars="0"/>
        <w:rPr>
          <w:rFonts w:hint="default" w:ascii="Times New Roman" w:hAnsi="Times New Roman" w:eastAsia="Segoe UI" w:cs="Times New Roman"/>
          <w:i w:val="0"/>
          <w:iCs w:val="0"/>
          <w:caps w:val="0"/>
          <w:color w:val="000000"/>
          <w:spacing w:val="0"/>
          <w:sz w:val="27"/>
          <w:szCs w:val="27"/>
          <w:shd w:val="clear" w:fill="F7FAFE"/>
        </w:rPr>
      </w:pPr>
      <w:r>
        <w:rPr>
          <w:rFonts w:hint="default" w:ascii="Times New Roman" w:hAnsi="Times New Roman" w:eastAsia="Segoe UI" w:cs="Times New Roman"/>
          <w:b/>
          <w:bCs/>
          <w:i w:val="0"/>
          <w:iCs w:val="0"/>
          <w:caps w:val="0"/>
          <w:color w:val="000000"/>
          <w:spacing w:val="0"/>
          <w:sz w:val="27"/>
          <w:szCs w:val="27"/>
          <w:shd w:val="clear" w:fill="F7FAFE"/>
        </w:rPr>
        <w:t>社会经济特征的分层作用</w:t>
      </w:r>
      <w:r>
        <w:rPr>
          <w:rFonts w:hint="default" w:ascii="Times New Roman" w:hAnsi="Times New Roman" w:eastAsia="Segoe UI" w:cs="Times New Roman"/>
          <w:i w:val="0"/>
          <w:iCs w:val="0"/>
          <w:caps w:val="0"/>
          <w:color w:val="000000"/>
          <w:spacing w:val="0"/>
          <w:sz w:val="27"/>
          <w:szCs w:val="27"/>
          <w:shd w:val="clear" w:fill="F7FAFE"/>
        </w:rPr>
        <w:t xml:space="preserve"> </w:t>
      </w:r>
    </w:p>
    <w:p w14:paraId="3268C9D6">
      <w:pPr>
        <w:numPr>
          <w:numId w:val="0"/>
        </w:numPr>
        <w:ind w:leftChars="0"/>
        <w:rPr>
          <w:rFonts w:hint="eastAsia" w:ascii="Times New Roman" w:hAnsi="Times New Roman" w:eastAsia="宋体" w:cs="Times New Roman"/>
          <w:i w:val="0"/>
          <w:iCs w:val="0"/>
          <w:caps w:val="0"/>
          <w:color w:val="000000"/>
          <w:spacing w:val="0"/>
          <w:sz w:val="27"/>
          <w:szCs w:val="27"/>
          <w:shd w:val="clear" w:fill="F7FAFE"/>
          <w:lang w:val="en-US" w:eastAsia="zh-CN"/>
        </w:rPr>
      </w:pPr>
      <w:r>
        <w:rPr>
          <w:rFonts w:hint="default" w:ascii="Times New Roman" w:hAnsi="Times New Roman" w:eastAsia="Segoe UI" w:cs="Times New Roman"/>
          <w:b/>
          <w:bCs/>
          <w:i w:val="0"/>
          <w:iCs w:val="0"/>
          <w:caps w:val="0"/>
          <w:color w:val="000000"/>
          <w:spacing w:val="0"/>
          <w:sz w:val="27"/>
          <w:szCs w:val="27"/>
          <w:shd w:val="clear" w:fill="F7FAFE"/>
        </w:rPr>
        <w:t xml:space="preserve"> 收入差距</w:t>
      </w:r>
      <w:r>
        <w:rPr>
          <w:rFonts w:hint="default" w:ascii="Times New Roman" w:hAnsi="Times New Roman" w:eastAsia="Segoe UI" w:cs="Times New Roman"/>
          <w:i w:val="0"/>
          <w:iCs w:val="0"/>
          <w:caps w:val="0"/>
          <w:color w:val="000000"/>
          <w:spacing w:val="0"/>
          <w:sz w:val="27"/>
          <w:szCs w:val="27"/>
          <w:shd w:val="clear" w:fill="F7FAFE"/>
        </w:rPr>
        <w:t>：高收入人群更容易承受极端气候引发的能源价格改变，并投资于绿色技术；而低收入家庭因缺乏经济储备，难以实现“绿色”行动的技术变革</w:t>
      </w:r>
      <w:r>
        <w:rPr>
          <w:rFonts w:hint="default" w:ascii="Times New Roman" w:hAnsi="Times New Roman" w:eastAsia="Segoe UI" w:cs="Times New Roman"/>
          <w:i w:val="0"/>
          <w:iCs w:val="0"/>
          <w:caps w:val="0"/>
          <w:color w:val="000000"/>
          <w:spacing w:val="0"/>
          <w:sz w:val="27"/>
          <w:szCs w:val="27"/>
          <w:shd w:val="clear" w:fill="F7FAFE"/>
        </w:rPr>
        <w:fldChar w:fldCharType="begin"/>
      </w:r>
      <w:r>
        <w:rPr>
          <w:rFonts w:hint="eastAsia" w:ascii="Times New Roman" w:hAnsi="Times New Roman" w:eastAsia="宋体" w:cs="Times New Roman"/>
          <w:i w:val="0"/>
          <w:iCs w:val="0"/>
          <w:caps w:val="0"/>
          <w:color w:val="000000"/>
          <w:spacing w:val="0"/>
          <w:sz w:val="27"/>
          <w:szCs w:val="27"/>
          <w:shd w:val="clear" w:fill="F7FAFE"/>
          <w:lang w:eastAsia="zh-CN"/>
        </w:rPr>
        <w:instrText xml:space="preserve"> ADDIN ZOTERO_ITEM CSL_CITATION {"citationID":"3oabtHl4","properties":{"formattedCitation":"(Maglicic &amp; Vasconcelos, 2025; Q. Xu et al., 2021)","plainCitation":"(Maglicic &amp; Vasconcelos, 2025; Q. Xu et al., 2021)","noteIndex":0},"citationItems":[{"id":2452,"uris":["http://zotero.org/users/11769009/items/IHKVZELY"],"itemData":{"id":2452,"type":"article-journal","abstract":"The uptake of environmentally friendly products is unequal and income-dependent. Whether solar panels or electric vehicles, lower income groups are often locked out of the benefits they offer. Worse, policies encouraging the adoption of environmentally friendly products have replicated or even exacerbated inequalities. We experiment with analytical and agent-based models to examine mechanisms driving this inequality trap and explore policy solutions. Considering economic factors and social desirability aspects of green products, we compare adoption across income quartiles. Our findings indicate higher-income groups are much more sensitive to social desirability, including environmental awareness and peer and status effects, while lower-income groups are primarily concerned with financial constraints. Additionally, social tipping points can either enhance or hinder adoption, depending on the level of economic inequality. Without a targeted approach addressing the financial barriers of lower-income groups alongside community-wide interventions achieving a just energy transition will remain a challenge.","container-title":"iScience","DOI":"10.1016/j.isci.2025.112277","ISSN":"2589-0042","issue":"4","journalAbbreviation":"iScience","language":"eng","note":"PMID: 40248117\nPMCID: PMC12005920","page":"112277","source":"PubMed","title":"Income inequality in the uptake of environmentally friendly products","volume":"28","author":[{"family":"Maglicic","given":"Martina"},{"family":"Vasconcelos","given":"Vítor V."}],"issued":{"date-parts":[["2025",4,18]]}},"label":"page"},{"id":2454,"uris":["http://zotero.org/users/11769009/items/A5MH69K9"],"itemData":{"id":2454,"type":"article-journal","abstract":"Given the rapid increase of residential energy consumption worldwide, promoting energy-saving behaviors in residential buildings is essential. To address this issue, this research provides an assessment of the impact of — Household Energy-Saving Option (HESO), an innovative intervention to promote energy conservation, on household energy-saving behaviors. The proposed research model was tested using 101 valid questionnaires from households in Singapore. The results indicate that HESO effectively encouraged household energy-saving behaviors. The determinants of the energy-saving intention and behaviors under the influence of HESO were further investigated from the perspective of behavioral theories by structural-equation modelling. The results showed that personal norm had the strongest influence of 0.692 on households’ energy saving behavioral intention. In addition, perceived behavioral control was not only responsible for the behavioral intention by 0.399 but also associated with the energy-saving behaviors by 0.477. Individuals’ risk preference negatively moderated the relationship between personal norm and behavioral intention, and the relationship between perceived behavioral control and energy-saving behaviors, respectively. This study contributes to the literature by providing an understanding of the effectiveness and influencing paths of HESO on household energy-saving behaviors. The findings yield decisive implications for implementing HESO into communities to reduce household energy consumption.","container-title":"Sustainable Cities and Society","DOI":"10.1016/j.scs.2021.102951","ISSN":"2210-6707","journalAbbreviation":"Sustainable Cities and Society","page":"102951","source":"ScienceDirect","title":"Exploring the Influencing Paths of Behavior-driven Household Energy-saving Intervention – Household Energy Saving Option (HESO)","volume":"71","author":[{"family":"Xu","given":"Qian"},{"family":"Hwang","given":"Bon-Gang"},{"family":"Lu","given":"Yujie"}],"issued":{"date-parts":[["2021",8,1]]}},"label":"page"}],"schema":"https://github.com/citation-style-language/schema/raw/master/csl-citation.json"} </w:instrText>
      </w:r>
      <w:r>
        <w:rPr>
          <w:rFonts w:hint="default" w:ascii="Times New Roman" w:hAnsi="Times New Roman" w:eastAsia="Segoe UI" w:cs="Times New Roman"/>
          <w:i w:val="0"/>
          <w:iCs w:val="0"/>
          <w:caps w:val="0"/>
          <w:color w:val="000000"/>
          <w:spacing w:val="0"/>
          <w:sz w:val="27"/>
          <w:szCs w:val="27"/>
          <w:shd w:val="clear" w:fill="F7FAFE"/>
        </w:rPr>
        <w:fldChar w:fldCharType="separate"/>
      </w:r>
      <w:r>
        <w:rPr>
          <w:rFonts w:hint="default" w:ascii="Times New Roman" w:hAnsi="Times New Roman" w:eastAsia="宋体" w:cs="Times New Roman"/>
          <w:sz w:val="27"/>
          <w:lang w:eastAsia="zh-CN"/>
        </w:rPr>
        <w:t>(Maglicic &amp; Vasconcelos, 2025; Q. Xu et al., 2021)</w:t>
      </w:r>
      <w:r>
        <w:rPr>
          <w:rFonts w:hint="default" w:ascii="Times New Roman" w:hAnsi="Times New Roman" w:eastAsia="Segoe UI" w:cs="Times New Roman"/>
          <w:i w:val="0"/>
          <w:iCs w:val="0"/>
          <w:caps w:val="0"/>
          <w:color w:val="000000"/>
          <w:spacing w:val="0"/>
          <w:sz w:val="27"/>
          <w:szCs w:val="27"/>
          <w:shd w:val="clear" w:fill="F7FAFE"/>
        </w:rPr>
        <w:fldChar w:fldCharType="end"/>
      </w:r>
      <w:r>
        <w:rPr>
          <w:rFonts w:hint="default" w:ascii="Times New Roman" w:hAnsi="Times New Roman" w:eastAsia="Segoe UI" w:cs="Times New Roman"/>
          <w:i w:val="0"/>
          <w:iCs w:val="0"/>
          <w:caps w:val="0"/>
          <w:color w:val="000000"/>
          <w:spacing w:val="0"/>
          <w:sz w:val="27"/>
          <w:szCs w:val="27"/>
          <w:shd w:val="clear" w:fill="F7FAFE"/>
        </w:rPr>
        <w:t>。</w:t>
      </w:r>
      <w:r>
        <w:rPr>
          <w:rFonts w:hint="default" w:ascii="Times New Roman" w:hAnsi="Times New Roman" w:eastAsia="Segoe UI" w:cs="Times New Roman"/>
          <w:i w:val="0"/>
          <w:iCs w:val="0"/>
          <w:caps w:val="0"/>
          <w:color w:val="000000"/>
          <w:spacing w:val="0"/>
          <w:sz w:val="27"/>
          <w:szCs w:val="27"/>
          <w:shd w:val="clear" w:fill="F7FAFE"/>
        </w:rPr>
        <w:fldChar w:fldCharType="begin"/>
      </w:r>
      <w:r>
        <w:rPr>
          <w:rFonts w:hint="eastAsia" w:ascii="Times New Roman" w:hAnsi="Times New Roman" w:eastAsia="宋体" w:cs="Times New Roman"/>
          <w:i w:val="0"/>
          <w:iCs w:val="0"/>
          <w:caps w:val="0"/>
          <w:color w:val="000000"/>
          <w:spacing w:val="0"/>
          <w:sz w:val="27"/>
          <w:szCs w:val="27"/>
          <w:shd w:val="clear" w:fill="F7FAFE"/>
          <w:lang w:eastAsia="zh-CN"/>
        </w:rPr>
        <w:instrText xml:space="preserve"> ADDIN ZOTERO_ITEM CSL_CITATION {"citationID":"wiwWR0C2","properties":{"formattedCitation":"(Eyuboglu &amp; Uzar, 2025)","plainCitation":"(Eyuboglu &amp; Uzar, 2025)","noteIndex":0},"citationItems":[{"id":2446,"uris":["http://zotero.org/users/11769009/items/3IPH7SF9"],"itemData":{"id":2446,"type":"article-journal","abstract":"This study focuses on the impact of income inequality on renewable energy consumption in Italy from 1970 to 2022, addressing a critical yet under-explored aspect of sustainable development. The analysis employs the advanced Fourier Augmented ARDL model to capture the socio-economic and environmental dynamics that influence renewable energy use, incorporating variables such as income inequality, economic growth, trade openness, and CO2 emissions for a more detailed understanding. The findings reveal that income inequality significantly and negatively affects renewable energy consumption, suggesting that higher inequality may hinder Italy's transition to clean energy. In contrast, economic growth has emerged as a positive driver of renewable energy use, whereas trade openness and CO2 emissions negatively impact renewable energy adoption. These results imply that policies aimed at reducing income inequality could be crucial for enhancing renewable energy consumption. In this context, the study advocates an integrated policy approach that concurrently addresses income inequality reduction and renewable energy promotion to achieve sustainable development goals. By underscoring the importance of harmonizing social and environmental objectives for lasting impacts, this study offers a significant contribution to the literature.","container-title":"Journal of Cleaner Production","DOI":"10.1016/j.jclepro.2025.144780","ISSN":"0959-6526","journalAbbreviation":"Journal of Cleaner Production","page":"144780","source":"ScienceDirect","title":"The social, economic, and environmental drivers of renewable energy: Is income inequality a threat to renewable energy transition?","title-short":"The social, economic, and environmental drivers of renewable energy","volume":"490","author":[{"family":"Eyuboglu","given":"Kemal"},{"family":"Uzar","given":"Umut"}],"issued":{"date-parts":[["2025",1,20]]}}}],"schema":"https://github.com/citation-style-language/schema/raw/master/csl-citation.json"} </w:instrText>
      </w:r>
      <w:r>
        <w:rPr>
          <w:rFonts w:hint="default" w:ascii="Times New Roman" w:hAnsi="Times New Roman" w:eastAsia="Segoe UI" w:cs="Times New Roman"/>
          <w:i w:val="0"/>
          <w:iCs w:val="0"/>
          <w:caps w:val="0"/>
          <w:color w:val="000000"/>
          <w:spacing w:val="0"/>
          <w:sz w:val="27"/>
          <w:szCs w:val="27"/>
          <w:shd w:val="clear" w:fill="F7FAFE"/>
        </w:rPr>
        <w:fldChar w:fldCharType="separate"/>
      </w:r>
      <w:r>
        <w:rPr>
          <w:rFonts w:hint="default" w:ascii="Times New Roman" w:hAnsi="Times New Roman" w:eastAsia="宋体" w:cs="Times New Roman"/>
          <w:sz w:val="27"/>
          <w:lang w:eastAsia="zh-CN"/>
        </w:rPr>
        <w:t xml:space="preserve">Eyuboglu &amp; Uzar </w:t>
      </w:r>
      <w:r>
        <w:rPr>
          <w:rFonts w:hint="default" w:ascii="Times New Roman" w:hAnsi="Times New Roman" w:eastAsia="宋体" w:cs="Times New Roman"/>
          <w:sz w:val="27"/>
          <w:lang w:eastAsia="zh-CN"/>
        </w:rPr>
        <w:t>(</w:t>
      </w:r>
      <w:r>
        <w:rPr>
          <w:rFonts w:hint="default" w:ascii="Times New Roman" w:hAnsi="Times New Roman" w:eastAsia="宋体" w:cs="Times New Roman"/>
          <w:sz w:val="27"/>
          <w:lang w:eastAsia="zh-CN"/>
        </w:rPr>
        <w:t>2025)</w:t>
      </w:r>
      <w:r>
        <w:rPr>
          <w:rFonts w:hint="default" w:ascii="Times New Roman" w:hAnsi="Times New Roman" w:eastAsia="Segoe UI" w:cs="Times New Roman"/>
          <w:i w:val="0"/>
          <w:iCs w:val="0"/>
          <w:caps w:val="0"/>
          <w:color w:val="000000"/>
          <w:spacing w:val="0"/>
          <w:sz w:val="27"/>
          <w:szCs w:val="27"/>
          <w:shd w:val="clear" w:fill="F7FAFE"/>
        </w:rPr>
        <w:fldChar w:fldCharType="end"/>
      </w:r>
      <w:r>
        <w:rPr>
          <w:rFonts w:hint="eastAsia" w:ascii="Times New Roman" w:hAnsi="Times New Roman" w:eastAsia="宋体" w:cs="Times New Roman"/>
          <w:i w:val="0"/>
          <w:iCs w:val="0"/>
          <w:caps w:val="0"/>
          <w:color w:val="000000"/>
          <w:spacing w:val="0"/>
          <w:sz w:val="27"/>
          <w:szCs w:val="27"/>
          <w:shd w:val="clear" w:fill="F7FAFE"/>
          <w:lang w:val="en-US" w:eastAsia="zh-CN"/>
        </w:rPr>
        <w:t>认为，从长远来看，不平等会导致可再生能源消耗量下降。</w:t>
      </w:r>
    </w:p>
    <w:p w14:paraId="6C4F3C52">
      <w:pPr>
        <w:numPr>
          <w:numId w:val="0"/>
        </w:numPr>
        <w:ind w:leftChars="0"/>
        <w:rPr>
          <w:rFonts w:hint="default" w:ascii="Times New Roman" w:hAnsi="Times New Roman" w:eastAsia="Segoe UI" w:cs="Times New Roman"/>
          <w:i w:val="0"/>
          <w:iCs w:val="0"/>
          <w:caps w:val="0"/>
          <w:color w:val="000000"/>
          <w:spacing w:val="0"/>
          <w:sz w:val="27"/>
          <w:szCs w:val="27"/>
          <w:shd w:val="clear" w:fill="F7FAFE"/>
        </w:rPr>
      </w:pPr>
      <w:r>
        <w:rPr>
          <w:rFonts w:hint="default" w:ascii="Times New Roman" w:hAnsi="Times New Roman" w:eastAsia="Segoe UI" w:cs="Times New Roman"/>
          <w:b/>
          <w:bCs/>
          <w:i w:val="0"/>
          <w:iCs w:val="0"/>
          <w:caps w:val="0"/>
          <w:color w:val="000000"/>
          <w:spacing w:val="0"/>
          <w:sz w:val="27"/>
          <w:szCs w:val="27"/>
          <w:shd w:val="clear" w:fill="F7FAFE"/>
        </w:rPr>
        <w:t>社区与区域特性</w:t>
      </w:r>
      <w:r>
        <w:rPr>
          <w:rFonts w:hint="default" w:ascii="Times New Roman" w:hAnsi="Times New Roman" w:eastAsia="Segoe UI" w:cs="Times New Roman"/>
          <w:i w:val="0"/>
          <w:iCs w:val="0"/>
          <w:caps w:val="0"/>
          <w:color w:val="000000"/>
          <w:spacing w:val="0"/>
          <w:sz w:val="27"/>
          <w:szCs w:val="27"/>
          <w:shd w:val="clear" w:fill="F7FAFE"/>
        </w:rPr>
        <w:t>：例如，城市化程度较高的区域设备升级</w:t>
      </w:r>
      <w:bookmarkStart w:id="0" w:name="_GoBack"/>
      <w:bookmarkEnd w:id="0"/>
      <w:r>
        <w:rPr>
          <w:rFonts w:hint="default" w:ascii="Times New Roman" w:hAnsi="Times New Roman" w:eastAsia="Segoe UI" w:cs="Times New Roman"/>
          <w:i w:val="0"/>
          <w:iCs w:val="0"/>
          <w:caps w:val="0"/>
          <w:color w:val="000000"/>
          <w:spacing w:val="0"/>
          <w:sz w:val="27"/>
          <w:szCs w:val="27"/>
          <w:shd w:val="clear" w:fill="F7FAFE"/>
        </w:rPr>
        <w:t>及绿色消费的普及度高于农村欠发达地区</w:t>
      </w:r>
      <w:r>
        <w:rPr>
          <w:rFonts w:hint="default" w:ascii="Times New Roman" w:hAnsi="Times New Roman" w:eastAsia="Segoe UI" w:cs="Times New Roman"/>
          <w:i w:val="0"/>
          <w:iCs w:val="0"/>
          <w:caps w:val="0"/>
          <w:color w:val="000000"/>
          <w:spacing w:val="0"/>
          <w:sz w:val="27"/>
          <w:szCs w:val="27"/>
          <w:shd w:val="clear" w:fill="F7FAFE"/>
        </w:rPr>
        <w:fldChar w:fldCharType="begin"/>
      </w:r>
      <w:r>
        <w:rPr>
          <w:rFonts w:hint="eastAsia" w:ascii="Times New Roman" w:hAnsi="Times New Roman" w:eastAsia="宋体" w:cs="Times New Roman"/>
          <w:i w:val="0"/>
          <w:iCs w:val="0"/>
          <w:caps w:val="0"/>
          <w:color w:val="000000"/>
          <w:spacing w:val="0"/>
          <w:sz w:val="27"/>
          <w:szCs w:val="27"/>
          <w:shd w:val="clear" w:fill="F7FAFE"/>
          <w:lang w:eastAsia="zh-CN"/>
        </w:rPr>
        <w:instrText xml:space="preserve"> ADDIN ZOTERO_ITEM CSL_CITATION {"citationID":"kg0lED5h","properties":{"formattedCitation":"(Liu et al., 2025)","plainCitation":"(Liu et al., 2025)","noteIndex":0},"citationItems":[{"id":2450,"uris":["http://zotero.org/users/11769009/items/B7YQRZUU"],"itemData":{"id":2450,"type":"article-journal","abstract":"The transition to sustainable rural residential energy is a critical yet underexplored pathway to achieving sustainable development. This study advances an enhanced framework for understanding rural energy transitions, emphasizing the role of urbanization. Building on the energy ladder theory, we differentiate between renewable and non-renewable high-quality energy, while highlighting the role of primitive energy (PE) in rural energy structures. Using a two-stage dynamic Spatial Durbin Model (SDM), we capture spatial interactions and provide precise insights into the impact of urbanization on rural residential energy transition. The results reveal that urbanization significantly accelerates the adoption of sustainable energy, particularly by promoting the adoption of renewable high-quality energy (RQE) in neighboring regions through spatial spillover effects. Regional heterogeneity is evident: urbanization promotes RQE adoption in eastern regions, while in central and western regions, it facilitates the shift from PE to transitional energy (TrE). These effects are most pronounced during the new-type urbanization stage, underscoring the strong linkage between sustainable urban growth and green energy practices. Mechanism analysis identifies both direct and chain mediation pathways, primarily by increasing rural household disposable income and enhancing infrastructure. Notably, infrastructure development exhibits stronger spatial spillover effects than income growth. These findings underscore the importance of regionally tailored energy policies and collaborative infrastructure strategies that harness urbanization-driven energy transitions to enhance rural sustainability.","container-title":"Habitat International","DOI":"10.1016/j.habitatint.2025.103473","ISSN":"0197-3975","journalAbbreviation":"Habitat International","page":"103473","source":"ScienceDirect","title":"Does urbanization promote the rural residential energy transition? Evidence from China based on the two-stage dynamic Spatial Durbin model","title-short":"Does urbanization promote the rural residential energy transition?","volume":"163","author":[{"family":"Liu","given":"Mohan"},{"family":"Wang","given":"Jing"},{"family":"Zhang","given":"Li"},{"family":"Zhang","given":"Xiaoling"}],"issued":{"date-parts":[["2025",9,1]]}}}],"schema":"https://github.com/citation-style-language/schema/raw/master/csl-citation.json"} </w:instrText>
      </w:r>
      <w:r>
        <w:rPr>
          <w:rFonts w:hint="default" w:ascii="Times New Roman" w:hAnsi="Times New Roman" w:eastAsia="Segoe UI" w:cs="Times New Roman"/>
          <w:i w:val="0"/>
          <w:iCs w:val="0"/>
          <w:caps w:val="0"/>
          <w:color w:val="000000"/>
          <w:spacing w:val="0"/>
          <w:sz w:val="27"/>
          <w:szCs w:val="27"/>
          <w:shd w:val="clear" w:fill="F7FAFE"/>
        </w:rPr>
        <w:fldChar w:fldCharType="separate"/>
      </w:r>
      <w:r>
        <w:rPr>
          <w:rFonts w:hint="default" w:ascii="Times New Roman" w:hAnsi="Times New Roman" w:eastAsia="宋体" w:cs="Times New Roman"/>
          <w:sz w:val="27"/>
          <w:lang w:eastAsia="zh-CN"/>
        </w:rPr>
        <w:t>(Liu et al., 2025)</w:t>
      </w:r>
      <w:r>
        <w:rPr>
          <w:rFonts w:hint="default" w:ascii="Times New Roman" w:hAnsi="Times New Roman" w:eastAsia="Segoe UI" w:cs="Times New Roman"/>
          <w:i w:val="0"/>
          <w:iCs w:val="0"/>
          <w:caps w:val="0"/>
          <w:color w:val="000000"/>
          <w:spacing w:val="0"/>
          <w:sz w:val="27"/>
          <w:szCs w:val="27"/>
          <w:shd w:val="clear" w:fill="F7FAFE"/>
        </w:rPr>
        <w:fldChar w:fldCharType="end"/>
      </w:r>
      <w:r>
        <w:rPr>
          <w:rFonts w:hint="default" w:ascii="Times New Roman" w:hAnsi="Times New Roman" w:eastAsia="Segoe UI" w:cs="Times New Roman"/>
          <w:i w:val="0"/>
          <w:iCs w:val="0"/>
          <w:caps w:val="0"/>
          <w:color w:val="000000"/>
          <w:spacing w:val="0"/>
          <w:sz w:val="27"/>
          <w:szCs w:val="27"/>
          <w:shd w:val="clear" w:fill="F7FAFE"/>
        </w:rPr>
        <w:t xml:space="preserve">。 </w:t>
      </w:r>
    </w:p>
    <w:p w14:paraId="035F0026">
      <w:pPr>
        <w:numPr>
          <w:numId w:val="0"/>
        </w:numPr>
        <w:ind w:leftChars="0"/>
        <w:rPr>
          <w:rFonts w:hint="default" w:ascii="Times New Roman" w:hAnsi="Times New Roman" w:eastAsia="Segoe UI" w:cs="Times New Roman"/>
          <w:i w:val="0"/>
          <w:iCs w:val="0"/>
          <w:caps w:val="0"/>
          <w:color w:val="000000"/>
          <w:spacing w:val="0"/>
          <w:sz w:val="27"/>
          <w:szCs w:val="27"/>
          <w:shd w:val="clear" w:fill="F7FAFE"/>
        </w:rPr>
      </w:pPr>
    </w:p>
    <w:p w14:paraId="28308E95">
      <w:pPr>
        <w:numPr>
          <w:ilvl w:val="0"/>
          <w:numId w:val="1"/>
        </w:numPr>
        <w:ind w:left="0" w:leftChars="0" w:firstLine="0" w:firstLineChars="0"/>
        <w:rPr>
          <w:rFonts w:hint="default" w:ascii="Times New Roman" w:hAnsi="Times New Roman" w:eastAsia="Segoe UI" w:cs="Times New Roman"/>
          <w:b/>
          <w:bCs/>
          <w:i w:val="0"/>
          <w:iCs w:val="0"/>
          <w:caps w:val="0"/>
          <w:color w:val="000000"/>
          <w:spacing w:val="0"/>
          <w:sz w:val="27"/>
          <w:szCs w:val="27"/>
          <w:shd w:val="clear" w:fill="F7FAFE"/>
        </w:rPr>
      </w:pPr>
      <w:r>
        <w:rPr>
          <w:rFonts w:hint="default" w:ascii="Times New Roman" w:hAnsi="Times New Roman" w:eastAsia="Segoe UI" w:cs="Times New Roman"/>
          <w:b/>
          <w:bCs/>
          <w:i w:val="0"/>
          <w:iCs w:val="0"/>
          <w:caps w:val="0"/>
          <w:color w:val="000000"/>
          <w:spacing w:val="0"/>
          <w:sz w:val="27"/>
          <w:szCs w:val="27"/>
          <w:shd w:val="clear" w:fill="F7FAFE"/>
        </w:rPr>
        <w:t xml:space="preserve">研究与未来展望 </w:t>
      </w:r>
    </w:p>
    <w:p w14:paraId="30475F02">
      <w:pPr>
        <w:numPr>
          <w:numId w:val="0"/>
        </w:numPr>
        <w:ind w:leftChars="0" w:firstLine="540" w:firstLineChars="200"/>
        <w:rPr>
          <w:rFonts w:hint="default" w:ascii="Times New Roman" w:hAnsi="Times New Roman" w:eastAsia="Segoe UI" w:cs="Times New Roman"/>
          <w:i w:val="0"/>
          <w:iCs w:val="0"/>
          <w:caps w:val="0"/>
          <w:color w:val="000000"/>
          <w:spacing w:val="0"/>
          <w:sz w:val="27"/>
          <w:szCs w:val="27"/>
          <w:shd w:val="clear" w:fill="F7FAFE"/>
        </w:rPr>
      </w:pPr>
      <w:r>
        <w:rPr>
          <w:rFonts w:hint="default" w:ascii="Times New Roman" w:hAnsi="Times New Roman" w:eastAsia="Segoe UI" w:cs="Times New Roman"/>
          <w:i w:val="0"/>
          <w:iCs w:val="0"/>
          <w:caps w:val="0"/>
          <w:color w:val="000000"/>
          <w:spacing w:val="0"/>
          <w:sz w:val="27"/>
          <w:szCs w:val="27"/>
          <w:shd w:val="clear" w:fill="F7FAFE"/>
        </w:rPr>
        <w:t xml:space="preserve">尽管已有大量研究揭示极端气候对家庭能源消费和绿色消费的复杂影响，但对于非线性长期变化的理解仍需加强： </w:t>
      </w:r>
    </w:p>
    <w:p w14:paraId="251475AE">
      <w:pPr>
        <w:numPr>
          <w:numId w:val="0"/>
        </w:numPr>
        <w:ind w:leftChars="0" w:firstLine="540" w:firstLineChars="200"/>
        <w:rPr>
          <w:rFonts w:hint="default" w:ascii="Times New Roman" w:hAnsi="Times New Roman" w:eastAsia="Segoe UI" w:cs="Times New Roman"/>
          <w:i w:val="0"/>
          <w:iCs w:val="0"/>
          <w:caps w:val="0"/>
          <w:color w:val="000000"/>
          <w:spacing w:val="0"/>
          <w:sz w:val="27"/>
          <w:szCs w:val="27"/>
          <w:shd w:val="clear" w:fill="F7FAFE"/>
        </w:rPr>
      </w:pPr>
      <w:r>
        <w:rPr>
          <w:rFonts w:hint="default" w:ascii="Times New Roman" w:hAnsi="Times New Roman" w:eastAsia="Segoe UI" w:cs="Times New Roman"/>
          <w:b/>
          <w:bCs/>
          <w:i w:val="0"/>
          <w:iCs w:val="0"/>
          <w:caps w:val="0"/>
          <w:color w:val="000000"/>
          <w:spacing w:val="0"/>
          <w:sz w:val="27"/>
          <w:szCs w:val="27"/>
          <w:shd w:val="clear" w:fill="F7FAFE"/>
        </w:rPr>
        <w:t>复合模型构建</w:t>
      </w:r>
      <w:r>
        <w:rPr>
          <w:rFonts w:hint="default" w:ascii="Times New Roman" w:hAnsi="Times New Roman" w:eastAsia="Segoe UI" w:cs="Times New Roman"/>
          <w:i w:val="0"/>
          <w:iCs w:val="0"/>
          <w:caps w:val="0"/>
          <w:color w:val="000000"/>
          <w:spacing w:val="0"/>
          <w:sz w:val="27"/>
          <w:szCs w:val="27"/>
          <w:shd w:val="clear" w:fill="F7FAFE"/>
        </w:rPr>
        <w:t>：需要更复杂的</w:t>
      </w:r>
      <w:r>
        <w:rPr>
          <w:rFonts w:hint="default" w:ascii="Times New Roman" w:hAnsi="Times New Roman" w:eastAsia="Segoe UI" w:cs="Times New Roman"/>
          <w:i w:val="0"/>
          <w:iCs w:val="0"/>
          <w:caps w:val="0"/>
          <w:color w:val="000000"/>
          <w:spacing w:val="0"/>
          <w:sz w:val="27"/>
          <w:szCs w:val="27"/>
          <w:highlight w:val="yellow"/>
          <w:shd w:val="clear" w:fill="F7FAFE"/>
        </w:rPr>
        <w:t>气候—政策</w:t>
      </w:r>
      <w:r>
        <w:rPr>
          <w:rFonts w:hint="eastAsia" w:ascii="Times New Roman" w:hAnsi="Times New Roman" w:eastAsia="宋体" w:cs="Times New Roman"/>
          <w:i w:val="0"/>
          <w:iCs w:val="0"/>
          <w:caps w:val="0"/>
          <w:color w:val="000000"/>
          <w:spacing w:val="0"/>
          <w:sz w:val="27"/>
          <w:szCs w:val="27"/>
          <w:highlight w:val="yellow"/>
          <w:shd w:val="clear" w:fill="F7FAFE"/>
          <w:lang w:eastAsia="zh-CN"/>
        </w:rPr>
        <w:t>—</w:t>
      </w:r>
      <w:r>
        <w:rPr>
          <w:rFonts w:hint="default" w:ascii="Times New Roman" w:hAnsi="Times New Roman" w:eastAsia="Segoe UI" w:cs="Times New Roman"/>
          <w:i w:val="0"/>
          <w:iCs w:val="0"/>
          <w:caps w:val="0"/>
          <w:color w:val="000000"/>
          <w:spacing w:val="0"/>
          <w:sz w:val="27"/>
          <w:szCs w:val="27"/>
          <w:highlight w:val="yellow"/>
          <w:shd w:val="clear" w:fill="F7FAFE"/>
        </w:rPr>
        <w:t>行为</w:t>
      </w:r>
      <w:r>
        <w:rPr>
          <w:rFonts w:hint="default" w:ascii="Times New Roman" w:hAnsi="Times New Roman" w:eastAsia="Segoe UI" w:cs="Times New Roman"/>
          <w:i w:val="0"/>
          <w:iCs w:val="0"/>
          <w:caps w:val="0"/>
          <w:color w:val="000000"/>
          <w:spacing w:val="0"/>
          <w:sz w:val="27"/>
          <w:szCs w:val="27"/>
          <w:highlight w:val="yellow"/>
          <w:shd w:val="clear" w:fill="F7FAFE"/>
        </w:rPr>
        <w:t>多层嵌套模型</w:t>
      </w:r>
      <w:r>
        <w:rPr>
          <w:rFonts w:hint="default" w:ascii="Times New Roman" w:hAnsi="Times New Roman" w:eastAsia="Segoe UI" w:cs="Times New Roman"/>
          <w:i w:val="0"/>
          <w:iCs w:val="0"/>
          <w:caps w:val="0"/>
          <w:color w:val="000000"/>
          <w:spacing w:val="0"/>
          <w:sz w:val="27"/>
          <w:szCs w:val="27"/>
          <w:shd w:val="clear" w:fill="F7FAFE"/>
        </w:rPr>
        <w:t xml:space="preserve">，量化极端天气与长期消费转变的关系。 </w:t>
      </w:r>
    </w:p>
    <w:p w14:paraId="3CCDA09B">
      <w:pPr>
        <w:numPr>
          <w:numId w:val="0"/>
        </w:numPr>
        <w:ind w:leftChars="0" w:firstLine="540" w:firstLineChars="200"/>
        <w:rPr>
          <w:rFonts w:hint="default" w:ascii="Times New Roman" w:hAnsi="Times New Roman" w:eastAsia="Segoe UI" w:cs="Times New Roman"/>
          <w:i w:val="0"/>
          <w:iCs w:val="0"/>
          <w:caps w:val="0"/>
          <w:color w:val="000000"/>
          <w:spacing w:val="0"/>
          <w:sz w:val="27"/>
          <w:szCs w:val="27"/>
          <w:shd w:val="clear" w:fill="F7FAFE"/>
        </w:rPr>
      </w:pPr>
      <w:r>
        <w:rPr>
          <w:rFonts w:hint="default" w:ascii="Times New Roman" w:hAnsi="Times New Roman" w:eastAsia="Segoe UI" w:cs="Times New Roman"/>
          <w:b/>
          <w:bCs/>
          <w:i w:val="0"/>
          <w:iCs w:val="0"/>
          <w:caps w:val="0"/>
          <w:color w:val="000000"/>
          <w:spacing w:val="0"/>
          <w:sz w:val="27"/>
          <w:szCs w:val="27"/>
          <w:shd w:val="clear" w:fill="F7FAFE"/>
        </w:rPr>
        <w:t>区域化研究</w:t>
      </w:r>
      <w:r>
        <w:rPr>
          <w:rFonts w:hint="default" w:ascii="Times New Roman" w:hAnsi="Times New Roman" w:eastAsia="Segoe UI" w:cs="Times New Roman"/>
          <w:i w:val="0"/>
          <w:iCs w:val="0"/>
          <w:caps w:val="0"/>
          <w:color w:val="000000"/>
          <w:spacing w:val="0"/>
          <w:sz w:val="27"/>
          <w:szCs w:val="27"/>
          <w:shd w:val="clear" w:fill="F7FAFE"/>
        </w:rPr>
        <w:t xml:space="preserve">：发展中国家具备独特的社会经济与气候特征，进一步研究可为全球政策提供启示。 </w:t>
      </w:r>
    </w:p>
    <w:p w14:paraId="77676CA0">
      <w:pPr>
        <w:numPr>
          <w:numId w:val="0"/>
        </w:numPr>
        <w:ind w:leftChars="0" w:firstLine="540" w:firstLineChars="200"/>
        <w:rPr>
          <w:rFonts w:hint="default" w:ascii="Times New Roman" w:hAnsi="Times New Roman" w:eastAsia="Segoe UI" w:cs="Times New Roman"/>
          <w:i w:val="0"/>
          <w:iCs w:val="0"/>
          <w:caps w:val="0"/>
          <w:color w:val="000000"/>
          <w:spacing w:val="0"/>
          <w:sz w:val="27"/>
          <w:szCs w:val="27"/>
          <w:shd w:val="clear" w:fill="F7FAFE"/>
        </w:rPr>
      </w:pPr>
      <w:r>
        <w:rPr>
          <w:rFonts w:hint="default" w:ascii="Times New Roman" w:hAnsi="Times New Roman" w:eastAsia="Segoe UI" w:cs="Times New Roman"/>
          <w:b/>
          <w:bCs/>
          <w:i w:val="0"/>
          <w:iCs w:val="0"/>
          <w:caps w:val="0"/>
          <w:color w:val="000000"/>
          <w:spacing w:val="0"/>
          <w:sz w:val="27"/>
          <w:szCs w:val="27"/>
          <w:shd w:val="clear" w:fill="F7FAFE"/>
        </w:rPr>
        <w:t>技术与行为协同</w:t>
      </w:r>
      <w:r>
        <w:rPr>
          <w:rFonts w:hint="default" w:ascii="Times New Roman" w:hAnsi="Times New Roman" w:eastAsia="Segoe UI" w:cs="Times New Roman"/>
          <w:i w:val="0"/>
          <w:iCs w:val="0"/>
          <w:caps w:val="0"/>
          <w:color w:val="000000"/>
          <w:spacing w:val="0"/>
          <w:sz w:val="27"/>
          <w:szCs w:val="27"/>
          <w:shd w:val="clear" w:fill="F7FAFE"/>
        </w:rPr>
        <w:t>：整合技术改良与长期行为干预影响的研究，评估全面减排的可行性。 综合而言，极端气候对家庭能源和绿色消费的影响体现出多因子交互特征，需以跨学科方法整合自然科学与社会科学见解，以提升家庭在气候变化下的适应能力。</w:t>
      </w:r>
    </w:p>
    <w:p w14:paraId="153E0E56">
      <w:pPr>
        <w:numPr>
          <w:numId w:val="0"/>
        </w:numPr>
        <w:ind w:leftChars="0" w:firstLine="540" w:firstLineChars="200"/>
        <w:rPr>
          <w:rFonts w:hint="default" w:ascii="Times New Roman" w:hAnsi="Times New Roman" w:eastAsia="Segoe UI" w:cs="Times New Roman"/>
          <w:i w:val="0"/>
          <w:iCs w:val="0"/>
          <w:caps w:val="0"/>
          <w:color w:val="000000"/>
          <w:spacing w:val="0"/>
          <w:sz w:val="27"/>
          <w:szCs w:val="27"/>
          <w:shd w:val="clear" w:fill="F7FAFE"/>
        </w:rPr>
      </w:pPr>
    </w:p>
    <w:p w14:paraId="3966864E">
      <w:pPr>
        <w:numPr>
          <w:numId w:val="0"/>
        </w:numPr>
        <w:ind w:leftChars="0" w:firstLine="540" w:firstLineChars="200"/>
        <w:rPr>
          <w:rFonts w:hint="default" w:ascii="Times New Roman" w:hAnsi="Times New Roman" w:eastAsia="Segoe UI" w:cs="Times New Roman"/>
          <w:i w:val="0"/>
          <w:iCs w:val="0"/>
          <w:caps w:val="0"/>
          <w:color w:val="000000"/>
          <w:spacing w:val="0"/>
          <w:sz w:val="27"/>
          <w:szCs w:val="27"/>
          <w:shd w:val="clear" w:fill="F7FAFE"/>
        </w:rPr>
      </w:pPr>
    </w:p>
    <w:p w14:paraId="48AEC28B">
      <w:pPr>
        <w:numPr>
          <w:numId w:val="0"/>
        </w:numPr>
        <w:ind w:leftChars="0" w:firstLine="540" w:firstLineChars="200"/>
        <w:rPr>
          <w:rFonts w:hint="default" w:ascii="Times New Roman" w:hAnsi="Times New Roman" w:eastAsia="Segoe UI" w:cs="Times New Roman"/>
          <w:i w:val="0"/>
          <w:iCs w:val="0"/>
          <w:caps w:val="0"/>
          <w:color w:val="000000"/>
          <w:spacing w:val="0"/>
          <w:sz w:val="27"/>
          <w:szCs w:val="27"/>
          <w:shd w:val="clear" w:fill="F7FAFE"/>
        </w:rPr>
      </w:pPr>
    </w:p>
    <w:p w14:paraId="7D56F855">
      <w:pPr>
        <w:pStyle w:val="9"/>
        <w:bidi w:val="0"/>
        <w:rPr>
          <w:rFonts w:hint="default" w:ascii="Times New Roman" w:hAnsi="Times New Roman" w:cs="Times New Roman"/>
          <w:sz w:val="27"/>
          <w:szCs w:val="24"/>
        </w:rPr>
      </w:pPr>
      <w:r>
        <w:rPr>
          <w:rFonts w:hint="default" w:ascii="Times New Roman" w:hAnsi="Times New Roman" w:eastAsia="Segoe UI" w:cs="Times New Roman"/>
          <w:i w:val="0"/>
          <w:iCs w:val="0"/>
          <w:caps w:val="0"/>
          <w:color w:val="000000"/>
          <w:spacing w:val="0"/>
          <w:sz w:val="27"/>
          <w:szCs w:val="27"/>
          <w:shd w:val="clear" w:fill="F7FAFE"/>
          <w:lang w:val="en-US" w:eastAsia="zh-CN"/>
        </w:rPr>
        <w:fldChar w:fldCharType="begin"/>
      </w:r>
      <w:r>
        <w:rPr>
          <w:rFonts w:hint="eastAsia" w:ascii="Times New Roman" w:hAnsi="Times New Roman" w:eastAsia="Segoe UI" w:cs="Times New Roman"/>
          <w:i w:val="0"/>
          <w:iCs w:val="0"/>
          <w:caps w:val="0"/>
          <w:color w:val="000000"/>
          <w:spacing w:val="0"/>
          <w:sz w:val="27"/>
          <w:szCs w:val="27"/>
          <w:shd w:val="clear" w:fill="F7FAFE"/>
          <w:lang w:val="en-US" w:eastAsia="zh-CN"/>
        </w:rPr>
        <w:instrText xml:space="preserve"> ADDIN ZOTERO_BIBL {"uncited":[],"omitted":[],"custom":[]} CSL_BIBLIOGRAPHY </w:instrText>
      </w:r>
      <w:r>
        <w:rPr>
          <w:rFonts w:hint="default" w:ascii="Times New Roman" w:hAnsi="Times New Roman" w:eastAsia="Segoe UI" w:cs="Times New Roman"/>
          <w:i w:val="0"/>
          <w:iCs w:val="0"/>
          <w:caps w:val="0"/>
          <w:color w:val="000000"/>
          <w:spacing w:val="0"/>
          <w:sz w:val="27"/>
          <w:szCs w:val="27"/>
          <w:shd w:val="clear" w:fill="F7FAFE"/>
          <w:lang w:val="en-US" w:eastAsia="zh-CN"/>
        </w:rPr>
        <w:fldChar w:fldCharType="separate"/>
      </w:r>
      <w:r>
        <w:rPr>
          <w:rFonts w:hint="default" w:ascii="Times New Roman" w:hAnsi="Times New Roman" w:cs="Times New Roman"/>
          <w:sz w:val="27"/>
          <w:szCs w:val="24"/>
        </w:rPr>
        <w:t xml:space="preserve">An, J., Liu, W., Wang, C., Zhou, X., Hu, S., &amp; Yan, D. (2026). Long-term impact of climate change on residential cooling loads in Beijing: A multi-factor analysis of occupant behaviors and envelopes. </w:t>
      </w:r>
      <w:r>
        <w:rPr>
          <w:rFonts w:hint="default" w:ascii="Times New Roman" w:hAnsi="Times New Roman" w:cs="Times New Roman"/>
          <w:i/>
          <w:sz w:val="27"/>
          <w:szCs w:val="24"/>
        </w:rPr>
        <w:t>Energy and Buildings</w:t>
      </w:r>
      <w:r>
        <w:rPr>
          <w:rFonts w:hint="default" w:ascii="Times New Roman" w:hAnsi="Times New Roman" w:cs="Times New Roman"/>
          <w:sz w:val="27"/>
          <w:szCs w:val="24"/>
        </w:rPr>
        <w:t xml:space="preserve">, </w:t>
      </w:r>
      <w:r>
        <w:rPr>
          <w:rFonts w:hint="default" w:ascii="Times New Roman" w:hAnsi="Times New Roman" w:cs="Times New Roman"/>
          <w:i/>
          <w:sz w:val="27"/>
          <w:szCs w:val="24"/>
        </w:rPr>
        <w:t>351</w:t>
      </w:r>
      <w:r>
        <w:rPr>
          <w:rFonts w:hint="default" w:ascii="Times New Roman" w:hAnsi="Times New Roman" w:cs="Times New Roman"/>
          <w:sz w:val="27"/>
          <w:szCs w:val="24"/>
        </w:rPr>
        <w:t>, 116691. https://doi.org/10.1016/j.enbuild.2025.116691</w:t>
      </w:r>
    </w:p>
    <w:p w14:paraId="396A37DD">
      <w:pPr>
        <w:pStyle w:val="9"/>
        <w:bidi w:val="0"/>
        <w:rPr>
          <w:rFonts w:hint="default" w:ascii="Times New Roman" w:hAnsi="Times New Roman" w:cs="Times New Roman"/>
          <w:sz w:val="27"/>
          <w:szCs w:val="24"/>
        </w:rPr>
      </w:pPr>
      <w:r>
        <w:rPr>
          <w:rFonts w:hint="default" w:ascii="Times New Roman" w:hAnsi="Times New Roman" w:cs="Times New Roman"/>
          <w:sz w:val="27"/>
          <w:szCs w:val="24"/>
        </w:rPr>
        <w:t xml:space="preserve">Cao, J., Li, M., Wang, M., Xiong, M., &amp; Meng, F. (2017). Effects of climate change on outdoor meteorological parameters for building energy-saving design in the different climate zones of China. </w:t>
      </w:r>
      <w:r>
        <w:rPr>
          <w:rFonts w:hint="default" w:ascii="Times New Roman" w:hAnsi="Times New Roman" w:cs="Times New Roman"/>
          <w:i/>
          <w:sz w:val="27"/>
          <w:szCs w:val="24"/>
        </w:rPr>
        <w:t>Energy and Buildings</w:t>
      </w:r>
      <w:r>
        <w:rPr>
          <w:rFonts w:hint="default" w:ascii="Times New Roman" w:hAnsi="Times New Roman" w:cs="Times New Roman"/>
          <w:sz w:val="27"/>
          <w:szCs w:val="24"/>
        </w:rPr>
        <w:t xml:space="preserve">, </w:t>
      </w:r>
      <w:r>
        <w:rPr>
          <w:rFonts w:hint="default" w:ascii="Times New Roman" w:hAnsi="Times New Roman" w:cs="Times New Roman"/>
          <w:i/>
          <w:sz w:val="27"/>
          <w:szCs w:val="24"/>
        </w:rPr>
        <w:t>146</w:t>
      </w:r>
      <w:r>
        <w:rPr>
          <w:rFonts w:hint="default" w:ascii="Times New Roman" w:hAnsi="Times New Roman" w:cs="Times New Roman"/>
          <w:sz w:val="27"/>
          <w:szCs w:val="24"/>
        </w:rPr>
        <w:t>, 65–72. https://doi.org/10.1016/j.enbuild.2017.04.045</w:t>
      </w:r>
    </w:p>
    <w:p w14:paraId="75DAE78C">
      <w:pPr>
        <w:pStyle w:val="9"/>
        <w:bidi w:val="0"/>
        <w:rPr>
          <w:rFonts w:hint="default" w:ascii="Times New Roman" w:hAnsi="Times New Roman" w:cs="Times New Roman"/>
          <w:sz w:val="27"/>
          <w:szCs w:val="24"/>
        </w:rPr>
      </w:pPr>
      <w:r>
        <w:rPr>
          <w:rFonts w:hint="default" w:ascii="Times New Roman" w:hAnsi="Times New Roman" w:cs="Times New Roman"/>
          <w:sz w:val="27"/>
          <w:szCs w:val="24"/>
        </w:rPr>
        <w:t xml:space="preserve">Dirks, J. A., Gorrissen, W. J., Hathaway, J. H., Skorski, D. C., Scott, M. J., Pulsipher, T. C., Huang, M., Liu, Y., &amp; Rice, J. S. (2015). Impacts of climate change on energy consumption and peak demand in buildings: A detailed regional approach. </w:t>
      </w:r>
      <w:r>
        <w:rPr>
          <w:rFonts w:hint="default" w:ascii="Times New Roman" w:hAnsi="Times New Roman" w:cs="Times New Roman"/>
          <w:i/>
          <w:sz w:val="27"/>
          <w:szCs w:val="24"/>
        </w:rPr>
        <w:t>Energy</w:t>
      </w:r>
      <w:r>
        <w:rPr>
          <w:rFonts w:hint="default" w:ascii="Times New Roman" w:hAnsi="Times New Roman" w:cs="Times New Roman"/>
          <w:sz w:val="27"/>
          <w:szCs w:val="24"/>
        </w:rPr>
        <w:t xml:space="preserve">, </w:t>
      </w:r>
      <w:r>
        <w:rPr>
          <w:rFonts w:hint="default" w:ascii="Times New Roman" w:hAnsi="Times New Roman" w:cs="Times New Roman"/>
          <w:i/>
          <w:sz w:val="27"/>
          <w:szCs w:val="24"/>
        </w:rPr>
        <w:t>79</w:t>
      </w:r>
      <w:r>
        <w:rPr>
          <w:rFonts w:hint="default" w:ascii="Times New Roman" w:hAnsi="Times New Roman" w:cs="Times New Roman"/>
          <w:sz w:val="27"/>
          <w:szCs w:val="24"/>
        </w:rPr>
        <w:t>, 20–32. https://doi.org/10.1016/j.energy.2014.08.081</w:t>
      </w:r>
    </w:p>
    <w:p w14:paraId="6F41AF1A">
      <w:pPr>
        <w:pStyle w:val="9"/>
        <w:bidi w:val="0"/>
        <w:rPr>
          <w:rFonts w:hint="default" w:ascii="Times New Roman" w:hAnsi="Times New Roman" w:cs="Times New Roman"/>
          <w:sz w:val="27"/>
          <w:szCs w:val="24"/>
        </w:rPr>
      </w:pPr>
      <w:r>
        <w:rPr>
          <w:rFonts w:hint="default" w:ascii="Times New Roman" w:hAnsi="Times New Roman" w:cs="Times New Roman"/>
          <w:sz w:val="27"/>
          <w:szCs w:val="24"/>
        </w:rPr>
        <w:t xml:space="preserve">Eyuboglu, K., &amp; Uzar, U. (2025). The social, economic, and environmental drivers of renewable energy: Is income inequality a threat to renewable energy transition? </w:t>
      </w:r>
      <w:r>
        <w:rPr>
          <w:rFonts w:hint="default" w:ascii="Times New Roman" w:hAnsi="Times New Roman" w:cs="Times New Roman"/>
          <w:i/>
          <w:sz w:val="27"/>
          <w:szCs w:val="24"/>
        </w:rPr>
        <w:t>Journal of Cleaner Production</w:t>
      </w:r>
      <w:r>
        <w:rPr>
          <w:rFonts w:hint="default" w:ascii="Times New Roman" w:hAnsi="Times New Roman" w:cs="Times New Roman"/>
          <w:sz w:val="27"/>
          <w:szCs w:val="24"/>
        </w:rPr>
        <w:t xml:space="preserve">, </w:t>
      </w:r>
      <w:r>
        <w:rPr>
          <w:rFonts w:hint="default" w:ascii="Times New Roman" w:hAnsi="Times New Roman" w:cs="Times New Roman"/>
          <w:i/>
          <w:sz w:val="27"/>
          <w:szCs w:val="24"/>
        </w:rPr>
        <w:t>490</w:t>
      </w:r>
      <w:r>
        <w:rPr>
          <w:rFonts w:hint="default" w:ascii="Times New Roman" w:hAnsi="Times New Roman" w:cs="Times New Roman"/>
          <w:sz w:val="27"/>
          <w:szCs w:val="24"/>
        </w:rPr>
        <w:t>, 144780. https://doi.org/10.1016/j.jclepro.2025.144780</w:t>
      </w:r>
    </w:p>
    <w:p w14:paraId="27771D0E">
      <w:pPr>
        <w:pStyle w:val="9"/>
        <w:bidi w:val="0"/>
        <w:rPr>
          <w:rFonts w:hint="default" w:ascii="Times New Roman" w:hAnsi="Times New Roman" w:cs="Times New Roman"/>
          <w:sz w:val="27"/>
          <w:szCs w:val="24"/>
        </w:rPr>
      </w:pPr>
      <w:r>
        <w:rPr>
          <w:rFonts w:hint="default" w:ascii="Times New Roman" w:hAnsi="Times New Roman" w:cs="Times New Roman"/>
          <w:sz w:val="27"/>
          <w:szCs w:val="24"/>
        </w:rPr>
        <w:t xml:space="preserve">Jakučionytė-Skodienė, M., &amp; Liobikienė, G. (2023). Changes in energy consumption and CO2 emissions in the Lithuanian household sector caused by environmental awareness and climate change policy. </w:t>
      </w:r>
      <w:r>
        <w:rPr>
          <w:rFonts w:hint="default" w:ascii="Times New Roman" w:hAnsi="Times New Roman" w:cs="Times New Roman"/>
          <w:i/>
          <w:sz w:val="27"/>
          <w:szCs w:val="24"/>
        </w:rPr>
        <w:t>Energy Policy</w:t>
      </w:r>
      <w:r>
        <w:rPr>
          <w:rFonts w:hint="default" w:ascii="Times New Roman" w:hAnsi="Times New Roman" w:cs="Times New Roman"/>
          <w:sz w:val="27"/>
          <w:szCs w:val="24"/>
        </w:rPr>
        <w:t xml:space="preserve">, </w:t>
      </w:r>
      <w:r>
        <w:rPr>
          <w:rFonts w:hint="default" w:ascii="Times New Roman" w:hAnsi="Times New Roman" w:cs="Times New Roman"/>
          <w:i/>
          <w:sz w:val="27"/>
          <w:szCs w:val="24"/>
        </w:rPr>
        <w:t>180</w:t>
      </w:r>
      <w:r>
        <w:rPr>
          <w:rFonts w:hint="default" w:ascii="Times New Roman" w:hAnsi="Times New Roman" w:cs="Times New Roman"/>
          <w:sz w:val="27"/>
          <w:szCs w:val="24"/>
        </w:rPr>
        <w:t>, 113687. https://doi.org/10.1016/j.enpol.2023.113687</w:t>
      </w:r>
    </w:p>
    <w:p w14:paraId="442A5920">
      <w:pPr>
        <w:pStyle w:val="9"/>
        <w:bidi w:val="0"/>
        <w:rPr>
          <w:rFonts w:hint="default" w:ascii="Times New Roman" w:hAnsi="Times New Roman" w:cs="Times New Roman"/>
          <w:sz w:val="27"/>
          <w:szCs w:val="24"/>
        </w:rPr>
      </w:pPr>
      <w:r>
        <w:rPr>
          <w:rFonts w:hint="default" w:ascii="Times New Roman" w:hAnsi="Times New Roman" w:cs="Times New Roman"/>
          <w:sz w:val="27"/>
          <w:szCs w:val="24"/>
        </w:rPr>
        <w:t xml:space="preserve">Liu, M., Wang, J., Zhang, L., &amp; Zhang, X. (2025). Does urbanization promote the rural residential energy transition? Evidence from China based on the two-stage dynamic Spatial Durbin model. </w:t>
      </w:r>
      <w:r>
        <w:rPr>
          <w:rFonts w:hint="default" w:ascii="Times New Roman" w:hAnsi="Times New Roman" w:cs="Times New Roman"/>
          <w:i/>
          <w:sz w:val="27"/>
          <w:szCs w:val="24"/>
        </w:rPr>
        <w:t>Habitat International</w:t>
      </w:r>
      <w:r>
        <w:rPr>
          <w:rFonts w:hint="default" w:ascii="Times New Roman" w:hAnsi="Times New Roman" w:cs="Times New Roman"/>
          <w:sz w:val="27"/>
          <w:szCs w:val="24"/>
        </w:rPr>
        <w:t xml:space="preserve">, </w:t>
      </w:r>
      <w:r>
        <w:rPr>
          <w:rFonts w:hint="default" w:ascii="Times New Roman" w:hAnsi="Times New Roman" w:cs="Times New Roman"/>
          <w:i/>
          <w:sz w:val="27"/>
          <w:szCs w:val="24"/>
        </w:rPr>
        <w:t>163</w:t>
      </w:r>
      <w:r>
        <w:rPr>
          <w:rFonts w:hint="default" w:ascii="Times New Roman" w:hAnsi="Times New Roman" w:cs="Times New Roman"/>
          <w:sz w:val="27"/>
          <w:szCs w:val="24"/>
        </w:rPr>
        <w:t>, 103473. https://doi.org/10.1016/j.habitatint.2025.103473</w:t>
      </w:r>
    </w:p>
    <w:p w14:paraId="4FDD14A3">
      <w:pPr>
        <w:pStyle w:val="9"/>
        <w:bidi w:val="0"/>
        <w:rPr>
          <w:rFonts w:hint="default" w:ascii="Times New Roman" w:hAnsi="Times New Roman" w:cs="Times New Roman"/>
          <w:sz w:val="27"/>
          <w:szCs w:val="24"/>
        </w:rPr>
      </w:pPr>
      <w:r>
        <w:rPr>
          <w:rFonts w:hint="default" w:ascii="Times New Roman" w:hAnsi="Times New Roman" w:cs="Times New Roman"/>
          <w:sz w:val="27"/>
          <w:szCs w:val="24"/>
        </w:rPr>
        <w:t xml:space="preserve">Maglicic, M., &amp; Vasconcelos, V. V. (2025). Income inequality in the uptake of environmentally friendly products. </w:t>
      </w:r>
      <w:r>
        <w:rPr>
          <w:rFonts w:hint="default" w:ascii="Times New Roman" w:hAnsi="Times New Roman" w:cs="Times New Roman"/>
          <w:i/>
          <w:sz w:val="27"/>
          <w:szCs w:val="24"/>
        </w:rPr>
        <w:t>iScience</w:t>
      </w:r>
      <w:r>
        <w:rPr>
          <w:rFonts w:hint="default" w:ascii="Times New Roman" w:hAnsi="Times New Roman" w:cs="Times New Roman"/>
          <w:sz w:val="27"/>
          <w:szCs w:val="24"/>
        </w:rPr>
        <w:t xml:space="preserve">, </w:t>
      </w:r>
      <w:r>
        <w:rPr>
          <w:rFonts w:hint="default" w:ascii="Times New Roman" w:hAnsi="Times New Roman" w:cs="Times New Roman"/>
          <w:i/>
          <w:sz w:val="27"/>
          <w:szCs w:val="24"/>
        </w:rPr>
        <w:t>28</w:t>
      </w:r>
      <w:r>
        <w:rPr>
          <w:rFonts w:hint="default" w:ascii="Times New Roman" w:hAnsi="Times New Roman" w:cs="Times New Roman"/>
          <w:sz w:val="27"/>
          <w:szCs w:val="24"/>
        </w:rPr>
        <w:t>(4), 112277. https://doi.org/10.1016/j.isci.2025.112277</w:t>
      </w:r>
    </w:p>
    <w:p w14:paraId="6F8C97DE">
      <w:pPr>
        <w:pStyle w:val="9"/>
        <w:bidi w:val="0"/>
        <w:rPr>
          <w:rFonts w:hint="default" w:ascii="Times New Roman" w:hAnsi="Times New Roman" w:cs="Times New Roman"/>
          <w:sz w:val="27"/>
          <w:szCs w:val="24"/>
        </w:rPr>
      </w:pPr>
      <w:r>
        <w:rPr>
          <w:rFonts w:hint="default" w:ascii="Times New Roman" w:hAnsi="Times New Roman" w:cs="Times New Roman"/>
          <w:sz w:val="27"/>
          <w:szCs w:val="24"/>
        </w:rPr>
        <w:t xml:space="preserve">van Ruijven, B. J., De Cian, E., &amp; Sue Wing, I. (2019). Amplification of future energy demand growth due to climate change. </w:t>
      </w:r>
      <w:r>
        <w:rPr>
          <w:rFonts w:hint="default" w:ascii="Times New Roman" w:hAnsi="Times New Roman" w:cs="Times New Roman"/>
          <w:i/>
          <w:sz w:val="27"/>
          <w:szCs w:val="24"/>
        </w:rPr>
        <w:t>Nature Communications</w:t>
      </w:r>
      <w:r>
        <w:rPr>
          <w:rFonts w:hint="default" w:ascii="Times New Roman" w:hAnsi="Times New Roman" w:cs="Times New Roman"/>
          <w:sz w:val="27"/>
          <w:szCs w:val="24"/>
        </w:rPr>
        <w:t xml:space="preserve">, </w:t>
      </w:r>
      <w:r>
        <w:rPr>
          <w:rFonts w:hint="default" w:ascii="Times New Roman" w:hAnsi="Times New Roman" w:cs="Times New Roman"/>
          <w:i/>
          <w:sz w:val="27"/>
          <w:szCs w:val="24"/>
        </w:rPr>
        <w:t>10</w:t>
      </w:r>
      <w:r>
        <w:rPr>
          <w:rFonts w:hint="default" w:ascii="Times New Roman" w:hAnsi="Times New Roman" w:cs="Times New Roman"/>
          <w:sz w:val="27"/>
          <w:szCs w:val="24"/>
        </w:rPr>
        <w:t>(1), 2762. https://doi.org/10.1038/s41467-019-10399-3</w:t>
      </w:r>
    </w:p>
    <w:p w14:paraId="37513647">
      <w:pPr>
        <w:pStyle w:val="9"/>
        <w:bidi w:val="0"/>
        <w:rPr>
          <w:rFonts w:hint="default" w:ascii="Times New Roman" w:hAnsi="Times New Roman" w:cs="Times New Roman"/>
          <w:sz w:val="27"/>
          <w:szCs w:val="24"/>
        </w:rPr>
      </w:pPr>
      <w:r>
        <w:rPr>
          <w:rFonts w:hint="default" w:ascii="Times New Roman" w:hAnsi="Times New Roman" w:cs="Times New Roman"/>
          <w:sz w:val="27"/>
          <w:szCs w:val="24"/>
        </w:rPr>
        <w:t xml:space="preserve">Xu, M., Zhang, S., Li, P., Weng, Z., Xie, Y., &amp; Lan, Y. (2024). Energy-related carbon emission reduction pathways in Northwest China towards carbon neutrality goal. </w:t>
      </w:r>
      <w:r>
        <w:rPr>
          <w:rFonts w:hint="default" w:ascii="Times New Roman" w:hAnsi="Times New Roman" w:cs="Times New Roman"/>
          <w:i/>
          <w:sz w:val="27"/>
          <w:szCs w:val="24"/>
        </w:rPr>
        <w:t>Applied Energy</w:t>
      </w:r>
      <w:r>
        <w:rPr>
          <w:rFonts w:hint="default" w:ascii="Times New Roman" w:hAnsi="Times New Roman" w:cs="Times New Roman"/>
          <w:sz w:val="27"/>
          <w:szCs w:val="24"/>
        </w:rPr>
        <w:t xml:space="preserve">, </w:t>
      </w:r>
      <w:r>
        <w:rPr>
          <w:rFonts w:hint="default" w:ascii="Times New Roman" w:hAnsi="Times New Roman" w:cs="Times New Roman"/>
          <w:i/>
          <w:sz w:val="27"/>
          <w:szCs w:val="24"/>
        </w:rPr>
        <w:t>358</w:t>
      </w:r>
      <w:r>
        <w:rPr>
          <w:rFonts w:hint="default" w:ascii="Times New Roman" w:hAnsi="Times New Roman" w:cs="Times New Roman"/>
          <w:sz w:val="27"/>
          <w:szCs w:val="24"/>
        </w:rPr>
        <w:t>, 122547. https://doi.org/10.1016/j.apenergy.2023.122547</w:t>
      </w:r>
    </w:p>
    <w:p w14:paraId="6486354A">
      <w:pPr>
        <w:pStyle w:val="9"/>
        <w:bidi w:val="0"/>
        <w:rPr>
          <w:rFonts w:hint="default" w:ascii="Times New Roman" w:hAnsi="Times New Roman" w:cs="Times New Roman"/>
          <w:sz w:val="27"/>
          <w:szCs w:val="24"/>
        </w:rPr>
      </w:pPr>
      <w:r>
        <w:rPr>
          <w:rFonts w:hint="default" w:ascii="Times New Roman" w:hAnsi="Times New Roman" w:cs="Times New Roman"/>
          <w:sz w:val="27"/>
          <w:szCs w:val="24"/>
        </w:rPr>
        <w:t xml:space="preserve">Xu, Q., Hwang, B.-G., &amp; Lu, Y. (2021). Exploring the Influencing Paths of Behavior-driven Household Energy-saving Intervention – Household Energy Saving Option (HESO). </w:t>
      </w:r>
      <w:r>
        <w:rPr>
          <w:rFonts w:hint="default" w:ascii="Times New Roman" w:hAnsi="Times New Roman" w:cs="Times New Roman"/>
          <w:i/>
          <w:sz w:val="27"/>
          <w:szCs w:val="24"/>
        </w:rPr>
        <w:t>Sustainable Cities and Society</w:t>
      </w:r>
      <w:r>
        <w:rPr>
          <w:rFonts w:hint="default" w:ascii="Times New Roman" w:hAnsi="Times New Roman" w:cs="Times New Roman"/>
          <w:sz w:val="27"/>
          <w:szCs w:val="24"/>
        </w:rPr>
        <w:t xml:space="preserve">, </w:t>
      </w:r>
      <w:r>
        <w:rPr>
          <w:rFonts w:hint="default" w:ascii="Times New Roman" w:hAnsi="Times New Roman" w:cs="Times New Roman"/>
          <w:i/>
          <w:sz w:val="27"/>
          <w:szCs w:val="24"/>
        </w:rPr>
        <w:t>71</w:t>
      </w:r>
      <w:r>
        <w:rPr>
          <w:rFonts w:hint="default" w:ascii="Times New Roman" w:hAnsi="Times New Roman" w:cs="Times New Roman"/>
          <w:sz w:val="27"/>
          <w:szCs w:val="24"/>
        </w:rPr>
        <w:t>, 102951. https://doi.org/10.1016/j.scs.2021.102951</w:t>
      </w:r>
    </w:p>
    <w:p w14:paraId="4A352F67">
      <w:pPr>
        <w:pStyle w:val="9"/>
        <w:bidi w:val="0"/>
        <w:rPr>
          <w:rFonts w:hint="default" w:ascii="Times New Roman" w:hAnsi="Times New Roman" w:cs="Times New Roman"/>
          <w:sz w:val="27"/>
          <w:szCs w:val="24"/>
        </w:rPr>
      </w:pPr>
      <w:r>
        <w:rPr>
          <w:rFonts w:hint="default" w:ascii="Times New Roman" w:hAnsi="Times New Roman" w:cs="Times New Roman"/>
          <w:sz w:val="27"/>
          <w:szCs w:val="24"/>
        </w:rPr>
        <w:t xml:space="preserve">Zheng, J., Dang, Y., &amp; Assad, U. (2024). Household energy consumption, energy efficiency, and household income–Evidence from China. </w:t>
      </w:r>
      <w:r>
        <w:rPr>
          <w:rFonts w:hint="default" w:ascii="Times New Roman" w:hAnsi="Times New Roman" w:cs="Times New Roman"/>
          <w:i/>
          <w:sz w:val="27"/>
          <w:szCs w:val="24"/>
        </w:rPr>
        <w:t>Applied Energy</w:t>
      </w:r>
      <w:r>
        <w:rPr>
          <w:rFonts w:hint="default" w:ascii="Times New Roman" w:hAnsi="Times New Roman" w:cs="Times New Roman"/>
          <w:sz w:val="27"/>
          <w:szCs w:val="24"/>
        </w:rPr>
        <w:t xml:space="preserve">, </w:t>
      </w:r>
      <w:r>
        <w:rPr>
          <w:rFonts w:hint="default" w:ascii="Times New Roman" w:hAnsi="Times New Roman" w:cs="Times New Roman"/>
          <w:i/>
          <w:sz w:val="27"/>
          <w:szCs w:val="24"/>
        </w:rPr>
        <w:t>353</w:t>
      </w:r>
      <w:r>
        <w:rPr>
          <w:rFonts w:hint="default" w:ascii="Times New Roman" w:hAnsi="Times New Roman" w:cs="Times New Roman"/>
          <w:sz w:val="27"/>
          <w:szCs w:val="24"/>
        </w:rPr>
        <w:t>, 122074. https://doi.org/10.1016/j.apenergy.2023.122074</w:t>
      </w:r>
    </w:p>
    <w:p w14:paraId="31D15CD0">
      <w:pPr>
        <w:pStyle w:val="9"/>
        <w:bidi w:val="0"/>
        <w:rPr>
          <w:rFonts w:hint="default" w:ascii="Times New Roman" w:hAnsi="Times New Roman" w:cs="Times New Roman"/>
          <w:sz w:val="27"/>
          <w:szCs w:val="24"/>
        </w:rPr>
      </w:pPr>
      <w:r>
        <w:rPr>
          <w:rFonts w:hint="default" w:ascii="Times New Roman" w:hAnsi="Times New Roman" w:cs="Times New Roman"/>
          <w:sz w:val="27"/>
          <w:szCs w:val="24"/>
        </w:rPr>
        <w:t xml:space="preserve">Zhou, Y., Clarke, L., Eom, J., Kyle, P., Patel, P., Kim, S. H., Dirks, J., Jensen, E., Liu, Y., Rice, J., Schmidt, L., &amp; Seiple, T. (2014). Modeling the effect of climate change on U.S. state-level buildings energy demands in an integrated assessment framework. </w:t>
      </w:r>
      <w:r>
        <w:rPr>
          <w:rFonts w:hint="default" w:ascii="Times New Roman" w:hAnsi="Times New Roman" w:cs="Times New Roman"/>
          <w:i/>
          <w:sz w:val="27"/>
          <w:szCs w:val="24"/>
        </w:rPr>
        <w:t>Applied Energy</w:t>
      </w:r>
      <w:r>
        <w:rPr>
          <w:rFonts w:hint="default" w:ascii="Times New Roman" w:hAnsi="Times New Roman" w:cs="Times New Roman"/>
          <w:sz w:val="27"/>
          <w:szCs w:val="24"/>
        </w:rPr>
        <w:t xml:space="preserve">, </w:t>
      </w:r>
      <w:r>
        <w:rPr>
          <w:rFonts w:hint="default" w:ascii="Times New Roman" w:hAnsi="Times New Roman" w:cs="Times New Roman"/>
          <w:i/>
          <w:sz w:val="27"/>
          <w:szCs w:val="24"/>
        </w:rPr>
        <w:t>113</w:t>
      </w:r>
      <w:r>
        <w:rPr>
          <w:rFonts w:hint="default" w:ascii="Times New Roman" w:hAnsi="Times New Roman" w:cs="Times New Roman"/>
          <w:sz w:val="27"/>
          <w:szCs w:val="24"/>
        </w:rPr>
        <w:t>, 1077–1088. https://doi.org/10.1016/j.apenergy.2013.08.034</w:t>
      </w:r>
    </w:p>
    <w:p w14:paraId="70F5A58D">
      <w:pPr>
        <w:numPr>
          <w:numId w:val="0"/>
        </w:numPr>
        <w:ind w:leftChars="0" w:firstLine="540" w:firstLineChars="200"/>
        <w:rPr>
          <w:rFonts w:hint="default" w:ascii="Times New Roman" w:hAnsi="Times New Roman" w:eastAsia="Segoe UI" w:cs="Times New Roman"/>
          <w:i w:val="0"/>
          <w:iCs w:val="0"/>
          <w:caps w:val="0"/>
          <w:color w:val="000000"/>
          <w:spacing w:val="0"/>
          <w:sz w:val="27"/>
          <w:szCs w:val="27"/>
          <w:shd w:val="clear" w:fill="F7FAFE"/>
          <w:lang w:val="en-US" w:eastAsia="zh-CN"/>
        </w:rPr>
      </w:pPr>
      <w:r>
        <w:rPr>
          <w:rFonts w:hint="default" w:ascii="Times New Roman" w:hAnsi="Times New Roman" w:eastAsia="Segoe UI" w:cs="Times New Roman"/>
          <w:i w:val="0"/>
          <w:iCs w:val="0"/>
          <w:caps w:val="0"/>
          <w:color w:val="000000"/>
          <w:spacing w:val="0"/>
          <w:sz w:val="27"/>
          <w:szCs w:val="27"/>
          <w:shd w:val="clear" w:fill="F7FAFE"/>
          <w:lang w:val="en-US" w:eastAsia="zh-CN"/>
        </w:rPr>
        <w:fldChar w:fldCharType="end"/>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ans-serif">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Georgia">
    <w:panose1 w:val="02040502050405020303"/>
    <w:charset w:val="00"/>
    <w:family w:val="auto"/>
    <w:pitch w:val="default"/>
    <w:sig w:usb0="00000287" w:usb1="00000000" w:usb2="00000000" w:usb3="00000000" w:csb0="2000009F"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EA36F71"/>
    <w:multiLevelType w:val="singleLevel"/>
    <w:tmpl w:val="AEA36F71"/>
    <w:lvl w:ilvl="0" w:tentative="0">
      <w:start w:val="1"/>
      <w:numFmt w:val="decimal"/>
      <w:suff w:val="nothing"/>
      <w:lvlText w:val="（%1）"/>
      <w:lvlJc w:val="left"/>
    </w:lvl>
  </w:abstractNum>
  <w:abstractNum w:abstractNumId="1">
    <w:nsid w:val="CB7FB374"/>
    <w:multiLevelType w:val="singleLevel"/>
    <w:tmpl w:val="CB7FB374"/>
    <w:lvl w:ilvl="0" w:tentative="0">
      <w:start w:val="1"/>
      <w:numFmt w:val="decimal"/>
      <w:suff w:val="nothing"/>
      <w:lvlText w:val="（%1）"/>
      <w:lvlJc w:val="left"/>
    </w:lvl>
  </w:abstractNum>
  <w:abstractNum w:abstractNumId="2">
    <w:nsid w:val="0824FE93"/>
    <w:multiLevelType w:val="singleLevel"/>
    <w:tmpl w:val="0824FE93"/>
    <w:lvl w:ilvl="0" w:tentative="0">
      <w:start w:val="1"/>
      <w:numFmt w:val="decimal"/>
      <w:suff w:val="space"/>
      <w:lvlText w:val="%1."/>
      <w:lvlJc w:val="left"/>
    </w:lvl>
  </w:abstractNum>
  <w:abstractNum w:abstractNumId="3">
    <w:nsid w:val="473A85ED"/>
    <w:multiLevelType w:val="singleLevel"/>
    <w:tmpl w:val="473A85ED"/>
    <w:lvl w:ilvl="0" w:tentative="0">
      <w:start w:val="1"/>
      <w:numFmt w:val="decimal"/>
      <w:suff w:val="nothing"/>
      <w:lvlText w:val="（%1）"/>
      <w:lvlJc w:val="left"/>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24D665AE"/>
    <w:rsid w:val="27091AE4"/>
    <w:rsid w:val="7E8443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7">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table" w:styleId="6">
    <w:name w:val="Table Grid"/>
    <w:basedOn w:val="5"/>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Strong"/>
    <w:basedOn w:val="7"/>
    <w:qFormat/>
    <w:uiPriority w:val="0"/>
    <w:rPr>
      <w:b/>
    </w:rPr>
  </w:style>
  <w:style w:type="paragraph" w:customStyle="1" w:styleId="9">
    <w:name w:val="Bibliography"/>
    <w:basedOn w:val="1"/>
    <w:uiPriority w:val="0"/>
    <w:pPr>
      <w:spacing w:line="480" w:lineRule="auto"/>
      <w:ind w:left="720" w:hanging="72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15</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2025-11-26T05:25:00Z</dcterms:created>
  <dc:creator>leeswimmer</dc:creator>
  <cp:lastModifiedBy>leeswimmer</cp:lastModifiedBy>
  <dcterms:modified xsi:type="dcterms:W3CDTF">2025-11-27T16:37:53Z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5B0E92998A924C41830D45D440849D4D_11</vt:lpwstr>
  </property>
  <property fmtid="{D5CDD505-2E9C-101B-9397-08002B2CF9AE}" pid="4" name="KSOTemplateDocerSaveRecord">
    <vt:lpwstr>eyJoZGlkIjoiNTk5NzA2NTg0MmYyNjRjZWUxNGMyNzc0ODA5MDliMjYiLCJ1c2VySWQiOiIyNjA1Nzg1NiJ9</vt:lpwstr>
  </property>
  <property fmtid="{D5CDD505-2E9C-101B-9397-08002B2CF9AE}" pid="5" name="ZOTERO_PREF_1">
    <vt:lpwstr>&lt;data data-version="3" zotero-version="7.0.16"&gt;&lt;session id="EjNtN0LA"/&gt;&lt;style id="http://www.zotero.org/styles/apa" locale="en-GB" hasBibliography="1" bibliographyStyleHasBeenSet="1"/&gt;&lt;prefs&gt;&lt;pref name="fieldType" value="Field"/&gt;&lt;/prefs&gt;&lt;/data&gt;</vt:lpwstr>
  </property>
</Properties>
</file>