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95AC7">
      <w:pPr>
        <w:pStyle w:val="32"/>
        <w:jc w:val="center"/>
        <w:rPr>
          <w:rFonts w:hint="default" w:ascii="Times New Roman" w:hAnsi="Times New Roman" w:cs="Times New Roman"/>
        </w:rPr>
      </w:pPr>
      <w:r>
        <w:rPr>
          <w:rFonts w:hint="default" w:ascii="Times New Roman" w:hAnsi="Times New Roman" w:cs="Times New Roman"/>
        </w:rPr>
        <w:t>Government Rumor Correction and Belief Updating under Group Cocooning</w:t>
      </w:r>
    </w:p>
    <w:p>
      <w:pPr>
        <w:jc w:val="center"/>
      </w:pPr>
      <w:r>
        <w:rPr>
          <w:rFonts w:ascii="Times New Roman" w:hAnsi="Times New Roman" w:eastAsia="SimSun"/>
          <w:b w:val="0"/>
          <w:i/>
          <w:color w:val="000000"/>
          <w:sz w:val="23"/>
        </w:rPr>
        <w:t xml:space="preserve">Completed factorial simulation comparing two definitions of belief updating time</w:t>
      </w:r>
    </w:p>
    <w:p w14:paraId="4EC56658">
      <w:pPr>
        <w:jc w:val="center"/>
        <w:rPr>
          <w:rFonts w:hint="default" w:ascii="Times New Roman" w:hAnsi="Times New Roman" w:cs="Times New Roman"/>
        </w:rPr>
      </w:pPr>
      <w:r>
        <w:rPr>
          <w:rFonts w:hint="default" w:ascii="Times New Roman" w:hAnsi="Times New Roman" w:cs="Times New Roman"/>
          <w:sz w:val="20"/>
        </w:rPr>
        <w:t>Guang Yang¹   Xiangyu Xu²   Pengyuan Xu²</w:t>
      </w:r>
    </w:p>
    <w:p w14:paraId="7C67F385">
      <w:pPr>
        <w:jc w:val="center"/>
        <w:rPr>
          <w:rFonts w:hint="default" w:ascii="Times New Roman" w:hAnsi="Times New Roman" w:cs="Times New Roman"/>
        </w:rPr>
      </w:pPr>
      <w:r>
        <w:rPr>
          <w:rFonts w:hint="default" w:ascii="Times New Roman" w:hAnsi="Times New Roman" w:cs="Times New Roman"/>
          <w:sz w:val="18"/>
        </w:rPr>
        <w:t>¹ China University of Mining and Technology</w:t>
      </w:r>
      <w:r>
        <w:rPr>
          <w:rFonts w:hint="default" w:ascii="Times New Roman" w:hAnsi="Times New Roman" w:cs="Times New Roman"/>
          <w:sz w:val="18"/>
        </w:rPr>
        <w:br w:type="textWrapping"/>
      </w:r>
      <w:r>
        <w:rPr>
          <w:rFonts w:hint="default" w:ascii="Times New Roman" w:hAnsi="Times New Roman" w:cs="Times New Roman"/>
          <w:sz w:val="18"/>
        </w:rPr>
        <w:t>² Hong Kong University of Science and Technology (Guangzhou)</w:t>
      </w:r>
    </w:p>
    <w:p>
      <w:pPr>
        <w:pStyle w:val="3"/>
      </w:pPr>
      <w:r>
        <w:t>Abstract</w:t>
      </w:r>
    </w:p>
    <w:p>
      <w:r>
        <w:rPr>
          <w:rFonts w:ascii="Times New Roman" w:hAnsi="Times New Roman" w:eastAsia="SimSun"/>
          <w:b w:val="0"/>
          <w:i w:val="0"/>
          <w:color w:val="000000"/>
          <w:sz w:val="22"/>
        </w:rPr>
        <w:t xml:space="preserve">Government corrections compete with rumor sources in uneven information networks. We compare response timing (RT), targeting capacity (TC) and government credibility (GC), and test moderation by degree of group cocooning (DGC), in 54 completed SocioVerse V7 scenarios with 300 LLM users and ten rounds each. Two TBU clocks are retained: government publication to first qualifying rejection (POST), and first belief to that same rejection (FB). Both use 757 observed transitions at or after publication and yield 54 scenario means. Mean POST and FB TBU are 1.51 and 4.56 steps. HC3-robust level tests with Holm correction across both endpoints support TC and GC differences. RT strongly differs under FB (p&lt;.001); its POST result is borderline after joint correction (p=.051). DGC level effects and all three moderation terms are unsupported under either clock. FB includes time spent awaiting official publication, so a positive RT association concerns total belief duration, not slower processing after correction. Unresolved episodes are censored, and observed-converter means do not represent all believers. A common follow-up check and a fixed initial-believer cohort support interpretation. Single runs per cell, synthetic profiles, an uncalibrated case and no no-response control limit causal and population claims.</w:t>
      </w:r>
    </w:p>
    <w:p>
      <w:r>
        <w:rPr>
          <w:rFonts w:ascii="Times New Roman" w:hAnsi="Times New Roman" w:eastAsia="SimSun"/>
          <w:b w:val="0"/>
          <w:i w:val="0"/>
          <w:color w:val="000000"/>
          <w:sz w:val="19"/>
        </w:rPr>
        <w:t>Keywords  Government rumor correction; belief updating; group cocooning; government credibility; LLM agents</w:t>
      </w:r>
    </w:p>
    <w:p>
      <w:pPr>
        <w:pStyle w:val="3"/>
      </w:pPr>
      <w:r>
        <w:t>1 Research background and objectives</w:t>
      </w:r>
    </w:p>
    <w:p>
      <w:r>
        <w:rPr>
          <w:rFonts w:ascii="Times New Roman" w:hAnsi="Times New Roman" w:eastAsia="SimSun"/>
          <w:b w:val="0"/>
          <w:i w:val="0"/>
          <w:color w:val="000000"/>
          <w:sz w:val="22"/>
        </w:rPr>
        <w:t>Social-media rumors can circulate within selective follower networks, while users assign different weights to familiar bloggers and official corrections. Prior research motivates studying exposure, trust and resistance to correction [1,2], but does not establish the behavioral validity of any particular LLM population. Our objective is to compare the TBU associated with different RT, TC and GC settings and to test whether their slopes change with DGC. This addresses Track B on counterfactual intervention and impact assessment through controlled scenario comparisons, rather than a claim of verified effects among real users.</w:t>
      </w:r>
    </w:p>
    <w:p>
      <w:r>
        <w:rPr>
          <w:rFonts w:ascii="Times New Roman" w:hAnsi="Times New Roman" w:eastAsia="SimSun"/>
          <w:b w:val="0"/>
          <w:i w:val="0"/>
          <w:color w:val="000000"/>
          <w:sz w:val="22"/>
        </w:rPr>
        <w:t>The wider proposal resource base comprises 125 public rumor events, 21,833 comments, 22,359 reposts, 873 rumor posts in seven categories and 265 questionnaire responses [5]. The present experiment nevertheless uses one scripted case and synthetic demographic/personality assignments. These resources are contextual foundations, not evidence that V7 parameters or simulated belief rates are empirically calibrated.</w:t>
      </w:r>
    </w:p>
    <w:p>
      <w:r>
        <w:br w:type="page"/>
      </w:r>
    </w:p>
    <w:p>
      <w:pPr>
        <w:pStyle w:val="3"/>
      </w:pPr>
      <w:r>
        <w:t>2 Model setting and experimental design</w:t>
      </w:r>
    </w:p>
    <w:p>
      <w:r>
        <w:rPr>
          <w:rFonts w:ascii="Times New Roman" w:hAnsi="Times New Roman" w:eastAsia="SimSun"/>
          <w:b w:val="0"/>
          <w:i w:val="0"/>
          <w:color w:val="000000"/>
          <w:sz w:val="22"/>
        </w:rPr>
        <w:t>SOURCE publishes a fixed allegation that safety-renovation funds for old residential neighborhoods were redirected to commercial-street improvements, delaying safety work. A separate GOVERNMENT account denies the redirection after a claimed records review, explains possible scheduling differences and promises disclosure. Its text supplies no independently inspectable budget documents; the case is experimental, not a verified real-world incident. Both texts remain identical across scenarios.</w:t>
      </w:r>
    </w:p>
    <w:p>
      <w:r>
        <w:rPr>
          <w:rFonts w:ascii="Times New Roman" w:hAnsi="Times New Roman" w:eastAsia="SimSun"/>
          <w:b w:val="0"/>
          <w:i w:val="0"/>
          <w:color w:val="000000"/>
          <w:sz w:val="22"/>
        </w:rPr>
        <w:t>All 300 audience users are LLM agents: 48 inside and 252 outside the cocoon. Each follows eight same-group and two cross-group peers, giving 3,000 user-to-user ties plus 48 SOURCE-following ties. Only inside users initially read the original post. Others first encounter it through a followee’s repost. A directly delivered official post does not automatically reveal the original; either encountered root can subsequently be revisited (Figure 1). No algorithmic recommendation engine is implemented.</w:t>
      </w:r>
    </w:p>
    <w:p>
      <w:pPr>
        <w:keepNext/>
        <w:spacing w:after="0"/>
        <w:jc w:val="center"/>
      </w:pPr>
      <w:r>
        <w:drawing>
          <wp:inline xmlns:a="http://schemas.openxmlformats.org/drawingml/2006/main" xmlns:pic="http://schemas.openxmlformats.org/drawingml/2006/picture">
            <wp:extent cx="6172200" cy="2450726"/>
            <wp:docPr id="1" name="Picture 1"/>
            <wp:cNvGraphicFramePr>
              <a:graphicFrameLocks noChangeAspect="1"/>
            </wp:cNvGraphicFramePr>
            <a:graphic>
              <a:graphicData uri="http://schemas.openxmlformats.org/drawingml/2006/picture">
                <pic:pic>
                  <pic:nvPicPr>
                    <pic:cNvPr id="0" name="Figure1_network_access.png"/>
                    <pic:cNvPicPr/>
                  </pic:nvPicPr>
                  <pic:blipFill>
                    <a:blip r:embed="rId12"/>
                    <a:stretch>
                      <a:fillRect/>
                    </a:stretch>
                  </pic:blipFill>
                  <pic:spPr>
                    <a:xfrm>
                      <a:off x="0" y="0"/>
                      <a:ext cx="6172200" cy="2450726"/>
                    </a:xfrm>
                    <a:prstGeom prst="rect"/>
                  </pic:spPr>
                </pic:pic>
              </a:graphicData>
            </a:graphic>
          </wp:inline>
        </w:drawing>
      </w:r>
    </w:p>
    <w:p>
      <w:pPr>
        <w:pStyle w:val="15"/>
      </w:pPr>
      <w:r>
        <w:rPr>
          <w:rFonts w:ascii="Times New Roman" w:hAnsi="Times New Roman" w:eastAsia="SimSun"/>
          <w:b w:val="0"/>
          <w:i w:val="0"/>
          <w:color w:val="000000"/>
          <w:sz w:val="18"/>
        </w:rPr>
        <w:t>Figure 1  Implemented actors and information access. Blue denotes the original source, orange official delivery, and dashed gray arrows possible peer reposts. Audience sizes and network rules are fixed across the factorial design.</w:t>
      </w:r>
    </w:p>
    <w:p>
      <w:pPr>
        <w:pStyle w:val="15"/>
        <w:keepNext/>
      </w:pPr>
      <w:r>
        <w:rPr>
          <w:rFonts w:ascii="Times New Roman" w:hAnsi="Times New Roman" w:eastAsia="SimSun"/>
          <w:b w:val="0"/>
          <w:i w:val="0"/>
          <w:color w:val="000000"/>
          <w:sz w:val="18"/>
        </w:rPr>
        <w:t>Table 1  Factor levels and intervention allocation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1944"/>
        <w:gridCol w:w="936"/>
        <w:gridCol w:w="1512"/>
        <w:gridCol w:w="5328"/>
      </w:tblGrid>
      <w:tr>
        <w:trPr>
          <w:tblHeader/>
          <w:cantSplit/>
        </w:trPr>
        <w:tc>
          <w:tcPr>
            <w:tcW w:type="dxa" w:w="1944"/>
            <w:vAlign w:val="center"/>
            <w:shd w:fill="E5ECF1"/>
          </w:tcPr>
          <w:p>
            <w:pPr>
              <w:keepNext/>
              <w:spacing w:line="245" w:lineRule="auto" w:after="0" w:before="0"/>
              <w:jc w:val="left"/>
            </w:pPr>
            <w:r>
              <w:rPr>
                <w:rFonts w:ascii="Times New Roman" w:hAnsi="Times New Roman" w:eastAsia="SimSun"/>
                <w:b/>
                <w:i w:val="0"/>
                <w:color w:val="000000"/>
                <w:sz w:val="19"/>
              </w:rPr>
              <w:t>Factor</w:t>
            </w:r>
          </w:p>
        </w:tc>
        <w:tc>
          <w:tcPr>
            <w:tcW w:type="dxa" w:w="936"/>
            <w:vAlign w:val="center"/>
            <w:shd w:fill="E5ECF1"/>
          </w:tcPr>
          <w:p>
            <w:pPr>
              <w:keepNext/>
              <w:spacing w:line="245" w:lineRule="auto" w:after="0" w:before="0"/>
              <w:jc w:val="left"/>
            </w:pPr>
            <w:r>
              <w:rPr>
                <w:rFonts w:ascii="Times New Roman" w:hAnsi="Times New Roman" w:eastAsia="SimSun"/>
                <w:b/>
                <w:i w:val="0"/>
                <w:color w:val="000000"/>
                <w:sz w:val="19"/>
              </w:rPr>
              <w:t>Symbol</w:t>
            </w:r>
          </w:p>
        </w:tc>
        <w:tc>
          <w:tcPr>
            <w:tcW w:type="dxa" w:w="1512"/>
            <w:vAlign w:val="center"/>
            <w:shd w:fill="E5ECF1"/>
          </w:tcPr>
          <w:p>
            <w:pPr>
              <w:keepNext/>
              <w:spacing w:line="245" w:lineRule="auto" w:after="0" w:before="0"/>
              <w:jc w:val="left"/>
            </w:pPr>
            <w:r>
              <w:rPr>
                <w:rFonts w:ascii="Times New Roman" w:hAnsi="Times New Roman" w:eastAsia="SimSun"/>
                <w:b/>
                <w:i w:val="0"/>
                <w:color w:val="000000"/>
                <w:sz w:val="19"/>
              </w:rPr>
              <w:t>Levels</w:t>
            </w:r>
          </w:p>
        </w:tc>
        <w:tc>
          <w:tcPr>
            <w:tcW w:type="dxa" w:w="5328"/>
            <w:vAlign w:val="center"/>
            <w:shd w:fill="E5ECF1"/>
          </w:tcPr>
          <w:p>
            <w:pPr>
              <w:keepNext/>
              <w:spacing w:line="245" w:lineRule="auto" w:after="0" w:before="0"/>
              <w:jc w:val="left"/>
            </w:pPr>
            <w:r>
              <w:rPr>
                <w:rFonts w:ascii="Times New Roman" w:hAnsi="Times New Roman" w:eastAsia="SimSun"/>
                <w:b/>
                <w:i w:val="0"/>
                <w:color w:val="000000"/>
                <w:sz w:val="19"/>
              </w:rPr>
              <w:t>Operational definition</w:t>
            </w:r>
          </w:p>
        </w:tc>
      </w:tr>
      <w:tr>
        <w:trPr>
          <w:cantSplit/>
        </w:trPr>
        <w:tc>
          <w:tcPr>
            <w:tcW w:type="dxa" w:w="1944"/>
            <w:vAlign w:val="center"/>
          </w:tcPr>
          <w:p>
            <w:pPr>
              <w:spacing w:line="245" w:lineRule="auto" w:after="0" w:before="0"/>
              <w:jc w:val="left"/>
            </w:pPr>
            <w:r>
              <w:rPr>
                <w:rFonts w:ascii="Times New Roman" w:hAnsi="Times New Roman" w:eastAsia="SimSun"/>
                <w:b w:val="0"/>
                <w:i w:val="0"/>
                <w:color w:val="000000"/>
                <w:sz w:val="19"/>
              </w:rPr>
              <w:t>Response timing</w:t>
            </w:r>
          </w:p>
        </w:tc>
        <w:tc>
          <w:tcPr>
            <w:tcW w:type="dxa" w:w="936"/>
            <w:vAlign w:val="center"/>
          </w:tcPr>
          <w:p>
            <w:pPr>
              <w:spacing w:line="245" w:lineRule="auto" w:after="0" w:before="0"/>
              <w:jc w:val="left"/>
            </w:pPr>
            <w:r>
              <w:rPr>
                <w:rFonts w:ascii="Times New Roman" w:hAnsi="Times New Roman" w:eastAsia="SimSun"/>
                <w:b w:val="0"/>
                <w:i w:val="0"/>
                <w:color w:val="000000"/>
                <w:sz w:val="19"/>
              </w:rPr>
              <w:t>RT</w:t>
            </w:r>
          </w:p>
        </w:tc>
        <w:tc>
          <w:tcPr>
            <w:tcW w:type="dxa" w:w="1512"/>
            <w:vAlign w:val="center"/>
          </w:tcPr>
          <w:p>
            <w:pPr>
              <w:spacing w:line="245" w:lineRule="auto" w:after="0" w:before="0"/>
              <w:jc w:val="left"/>
            </w:pPr>
            <w:r>
              <w:rPr>
                <w:rFonts w:ascii="Times New Roman" w:hAnsi="Times New Roman" w:eastAsia="SimSun"/>
                <w:b w:val="0"/>
                <w:i w:val="0"/>
                <w:color w:val="000000"/>
                <w:sz w:val="19"/>
              </w:rPr>
              <w:t>2, 4, 7</w:t>
            </w:r>
          </w:p>
        </w:tc>
        <w:tc>
          <w:tcPr>
            <w:tcW w:type="dxa" w:w="5328"/>
            <w:vAlign w:val="center"/>
          </w:tcPr>
          <w:p>
            <w:pPr>
              <w:spacing w:line="245" w:lineRule="auto" w:after="0" w:before="0"/>
              <w:jc w:val="left"/>
            </w:pPr>
            <w:r>
              <w:rPr>
                <w:rFonts w:ascii="Times New Roman" w:hAnsi="Times New Roman" w:eastAsia="SimSun"/>
                <w:b w:val="0"/>
                <w:i w:val="0"/>
                <w:color w:val="000000"/>
                <w:sz w:val="19"/>
              </w:rPr>
              <w:t>Official publication and one-time direct delivery round.</w:t>
            </w:r>
          </w:p>
        </w:tc>
      </w:tr>
      <w:tr>
        <w:trPr>
          <w:cantSplit/>
        </w:trPr>
        <w:tc>
          <w:tcPr>
            <w:tcW w:type="dxa" w:w="1944"/>
            <w:vAlign w:val="center"/>
          </w:tcPr>
          <w:p>
            <w:pPr>
              <w:spacing w:line="245" w:lineRule="auto" w:after="0" w:before="0"/>
              <w:jc w:val="left"/>
            </w:pPr>
            <w:r>
              <w:rPr>
                <w:rFonts w:ascii="Times New Roman" w:hAnsi="Times New Roman" w:eastAsia="SimSun"/>
                <w:b w:val="0"/>
                <w:i w:val="0"/>
                <w:color w:val="000000"/>
                <w:sz w:val="19"/>
              </w:rPr>
              <w:t>Targeting capacity</w:t>
            </w:r>
          </w:p>
        </w:tc>
        <w:tc>
          <w:tcPr>
            <w:tcW w:type="dxa" w:w="936"/>
            <w:vAlign w:val="center"/>
          </w:tcPr>
          <w:p>
            <w:pPr>
              <w:spacing w:line="245" w:lineRule="auto" w:after="0" w:before="0"/>
              <w:jc w:val="left"/>
            </w:pPr>
            <w:r>
              <w:rPr>
                <w:rFonts w:ascii="Times New Roman" w:hAnsi="Times New Roman" w:eastAsia="SimSun"/>
                <w:b w:val="0"/>
                <w:i w:val="0"/>
                <w:color w:val="000000"/>
                <w:sz w:val="19"/>
              </w:rPr>
              <w:t>TC</w:t>
            </w:r>
          </w:p>
        </w:tc>
        <w:tc>
          <w:tcPr>
            <w:tcW w:type="dxa" w:w="1512"/>
            <w:vAlign w:val="center"/>
          </w:tcPr>
          <w:p>
            <w:pPr>
              <w:spacing w:line="245" w:lineRule="auto" w:after="0" w:before="0"/>
              <w:jc w:val="left"/>
            </w:pPr>
            <w:r>
              <w:rPr>
                <w:rFonts w:ascii="Times New Roman" w:hAnsi="Times New Roman" w:eastAsia="SimSun"/>
                <w:b w:val="0"/>
                <w:i w:val="0"/>
                <w:color w:val="000000"/>
                <w:sz w:val="19"/>
              </w:rPr>
              <w:t>.20, .80</w:t>
            </w:r>
          </w:p>
        </w:tc>
        <w:tc>
          <w:tcPr>
            <w:tcW w:type="dxa" w:w="5328"/>
            <w:vAlign w:val="center"/>
          </w:tcPr>
          <w:p>
            <w:pPr>
              <w:spacing w:line="245" w:lineRule="auto" w:after="0" w:before="0"/>
              <w:jc w:val="left"/>
            </w:pPr>
            <w:r>
              <w:rPr>
                <w:rFonts w:ascii="Times New Roman" w:hAnsi="Times New Roman" w:eastAsia="SimSun"/>
                <w:b w:val="0"/>
                <w:i w:val="0"/>
                <w:color w:val="000000"/>
                <w:sz w:val="19"/>
              </w:rPr>
              <w:t>Inside share of 50 recipients: 10/40 or 40/10 inside/outside.</w:t>
            </w:r>
          </w:p>
        </w:tc>
      </w:tr>
      <w:tr>
        <w:trPr>
          <w:cantSplit/>
        </w:trPr>
        <w:tc>
          <w:tcPr>
            <w:tcW w:type="dxa" w:w="1944"/>
            <w:vAlign w:val="center"/>
          </w:tcPr>
          <w:p>
            <w:pPr>
              <w:spacing w:line="245" w:lineRule="auto" w:after="0" w:before="0"/>
              <w:jc w:val="left"/>
            </w:pPr>
            <w:r>
              <w:rPr>
                <w:rFonts w:ascii="Times New Roman" w:hAnsi="Times New Roman" w:eastAsia="SimSun"/>
                <w:b w:val="0"/>
                <w:i w:val="0"/>
                <w:color w:val="000000"/>
                <w:sz w:val="19"/>
              </w:rPr>
              <w:t>Government credibility</w:t>
            </w:r>
          </w:p>
        </w:tc>
        <w:tc>
          <w:tcPr>
            <w:tcW w:type="dxa" w:w="936"/>
            <w:vAlign w:val="center"/>
          </w:tcPr>
          <w:p>
            <w:pPr>
              <w:spacing w:line="245" w:lineRule="auto" w:after="0" w:before="0"/>
              <w:jc w:val="left"/>
            </w:pPr>
            <w:r>
              <w:rPr>
                <w:rFonts w:ascii="Times New Roman" w:hAnsi="Times New Roman" w:eastAsia="SimSun"/>
                <w:b w:val="0"/>
                <w:i w:val="0"/>
                <w:color w:val="000000"/>
                <w:sz w:val="19"/>
              </w:rPr>
              <w:t>GC</w:t>
            </w:r>
          </w:p>
        </w:tc>
        <w:tc>
          <w:tcPr>
            <w:tcW w:type="dxa" w:w="1512"/>
            <w:vAlign w:val="center"/>
          </w:tcPr>
          <w:p>
            <w:pPr>
              <w:spacing w:line="245" w:lineRule="auto" w:after="0" w:before="0"/>
              <w:jc w:val="left"/>
            </w:pPr>
            <w:r>
              <w:rPr>
                <w:rFonts w:ascii="Times New Roman" w:hAnsi="Times New Roman" w:eastAsia="SimSun"/>
                <w:b w:val="0"/>
                <w:i w:val="0"/>
                <w:color w:val="000000"/>
                <w:sz w:val="19"/>
              </w:rPr>
              <w:t>.25, .50, .75</w:t>
            </w:r>
          </w:p>
        </w:tc>
        <w:tc>
          <w:tcPr>
            <w:tcW w:type="dxa" w:w="5328"/>
            <w:vAlign w:val="center"/>
          </w:tcPr>
          <w:p>
            <w:pPr>
              <w:spacing w:line="245" w:lineRule="auto" w:after="0" w:before="0"/>
              <w:jc w:val="left"/>
            </w:pPr>
            <w:r>
              <w:rPr>
                <w:rFonts w:ascii="Times New Roman" w:hAnsi="Times New Roman" w:eastAsia="SimSun"/>
                <w:b w:val="0"/>
                <w:i w:val="0"/>
                <w:color w:val="000000"/>
                <w:sz w:val="19"/>
              </w:rPr>
              <w:t>Population mean of assigned individual government source trust.</w:t>
            </w:r>
          </w:p>
        </w:tc>
      </w:tr>
      <w:tr>
        <w:trPr>
          <w:cantSplit/>
        </w:trPr>
        <w:tc>
          <w:tcPr>
            <w:tcW w:type="dxa" w:w="1944"/>
            <w:vAlign w:val="center"/>
          </w:tcPr>
          <w:p>
            <w:pPr>
              <w:spacing w:line="245" w:lineRule="auto" w:after="0" w:before="0"/>
              <w:jc w:val="left"/>
            </w:pPr>
            <w:r>
              <w:rPr>
                <w:rFonts w:ascii="Times New Roman" w:hAnsi="Times New Roman" w:eastAsia="SimSun"/>
                <w:b w:val="0"/>
                <w:i w:val="0"/>
                <w:color w:val="000000"/>
                <w:sz w:val="19"/>
              </w:rPr>
              <w:t>Degree of group cocooning</w:t>
            </w:r>
          </w:p>
        </w:tc>
        <w:tc>
          <w:tcPr>
            <w:tcW w:type="dxa" w:w="936"/>
            <w:vAlign w:val="center"/>
          </w:tcPr>
          <w:p>
            <w:pPr>
              <w:spacing w:line="245" w:lineRule="auto" w:after="0" w:before="0"/>
              <w:jc w:val="left"/>
            </w:pPr>
            <w:r>
              <w:rPr>
                <w:rFonts w:ascii="Times New Roman" w:hAnsi="Times New Roman" w:eastAsia="SimSun"/>
                <w:b w:val="0"/>
                <w:i w:val="0"/>
                <w:color w:val="000000"/>
                <w:sz w:val="19"/>
              </w:rPr>
              <w:t>DGC</w:t>
            </w:r>
          </w:p>
        </w:tc>
        <w:tc>
          <w:tcPr>
            <w:tcW w:type="dxa" w:w="1512"/>
            <w:vAlign w:val="center"/>
          </w:tcPr>
          <w:p>
            <w:pPr>
              <w:spacing w:line="245" w:lineRule="auto" w:after="0" w:before="0"/>
              <w:jc w:val="left"/>
            </w:pPr>
            <w:r>
              <w:rPr>
                <w:rFonts w:ascii="Times New Roman" w:hAnsi="Times New Roman" w:eastAsia="SimSun"/>
                <w:b w:val="0"/>
                <w:i w:val="0"/>
                <w:color w:val="000000"/>
                <w:sz w:val="19"/>
              </w:rPr>
              <w:t>0, .20, .40</w:t>
            </w:r>
          </w:p>
        </w:tc>
        <w:tc>
          <w:tcPr>
            <w:tcW w:type="dxa" w:w="5328"/>
            <w:vAlign w:val="center"/>
          </w:tcPr>
          <w:p>
            <w:pPr>
              <w:spacing w:line="245" w:lineRule="auto" w:after="0" w:before="0"/>
              <w:jc w:val="left"/>
            </w:pPr>
            <w:r>
              <w:rPr>
                <w:rFonts w:ascii="Times New Roman" w:hAnsi="Times New Roman" w:eastAsia="SimSun"/>
                <w:b w:val="0"/>
                <w:i w:val="0"/>
                <w:color w:val="000000"/>
                <w:sz w:val="19"/>
              </w:rPr>
              <w:t>Inside-minus-outside mean trust in SOURCE; network topology unchanged.</w:t>
            </w:r>
          </w:p>
        </w:tc>
      </w:tr>
    </w:tbl>
    <w:p>
      <w:pPr>
        <w:pStyle w:val="15"/>
      </w:pPr>
      <w:r>
        <w:rPr>
          <w:rFonts w:ascii="Times New Roman" w:hAnsi="Times New Roman" w:eastAsia="SimSun"/>
          <w:b w:val="0"/>
          <w:i w:val="0"/>
          <w:color w:val="000000"/>
          <w:sz w:val="18"/>
        </w:rPr>
        <w:t>RT×TC×GC×DGC gives 3×2×3×3=54 conditions. TC=.20 reaches 20.83% of inside and 15.87% of outside users; TC=.80 reaches 83.33% and 3.97%. Sampling is without replacement and does not screen current belief.</w:t>
      </w:r>
    </w:p>
    <w:p>
      <w:r>
        <w:rPr>
          <w:rFonts w:ascii="Times New Roman" w:hAnsi="Times New Roman" w:eastAsia="SimSun"/>
          <w:b w:val="0"/>
          <w:i w:val="0"/>
          <w:color w:val="000000"/>
          <w:sz w:val="22"/>
        </w:rPr>
        <w:t>Source trust and government trust are fixed 0–1 priors, distinct from the changing 0–100 belief score. Source means are 0.5+DGC/2 inside and 0.5−DGC/2 outside. Symmetric truncated-normal quantiles with scale .10 and seeded permutations assign individual values. Because group sizes differ, increasing DGC also lowers overall mean source trust (.500, .432, .364); it is not a pure network-cocooning manipulation.</w:t>
      </w:r>
    </w:p>
    <w:p>
      <w:pPr>
        <w:sectPr>
          <w:footerReference r:id="rId5" w:type="default"/>
          <w:type w:val="nextPage"/>
          <w:pgSz w:w="11905" w:h="16838"/>
          <w:pgMar w:top="950" w:right="1037" w:bottom="893" w:left="1037" w:header="346" w:footer="346" w:gutter="0"/>
          <w:cols w:space="720" w:num="1"/>
          <w:docGrid w:linePitch="360" w:charSpace="0"/>
        </w:sectPr>
      </w:pPr>
    </w:p>
    <w:p>
      <w:pPr>
        <w:pStyle w:val="3"/>
      </w:pPr>
      <w:r>
        <w:t>3 Integrated research framework</w:t>
      </w:r>
    </w:p>
    <w:p>
      <w:pPr>
        <w:keepNext/>
        <w:spacing w:after="0"/>
        <w:jc w:val="center"/>
      </w:pPr>
      <w:r>
        <w:drawing>
          <wp:inline xmlns:a="http://schemas.openxmlformats.org/drawingml/2006/main" xmlns:pic="http://schemas.openxmlformats.org/drawingml/2006/picture">
            <wp:extent cx="8503920" cy="5314950"/>
            <wp:docPr id="2" name="Picture 2"/>
            <wp:cNvGraphicFramePr>
              <a:graphicFrameLocks noChangeAspect="1"/>
            </wp:cNvGraphicFramePr>
            <a:graphic>
              <a:graphicData uri="http://schemas.openxmlformats.org/drawingml/2006/picture">
                <pic:pic>
                  <pic:nvPicPr>
                    <pic:cNvPr id="0" name="Fig1_V7_framework_EN.png"/>
                    <pic:cNvPicPr/>
                  </pic:nvPicPr>
                  <pic:blipFill>
                    <a:blip r:embed="rId13"/>
                    <a:stretch>
                      <a:fillRect/>
                    </a:stretch>
                  </pic:blipFill>
                  <pic:spPr>
                    <a:xfrm>
                      <a:off x="0" y="0"/>
                      <a:ext cx="8503920" cy="5314950"/>
                    </a:xfrm>
                    <a:prstGeom prst="rect"/>
                  </pic:spPr>
                </pic:pic>
              </a:graphicData>
            </a:graphic>
          </wp:inline>
        </w:drawing>
      </w:r>
    </w:p>
    <w:p>
      <w:pPr>
        <w:pStyle w:val="15"/>
        <w:ind w:left="686" w:right="686"/>
      </w:pPr>
      <w:r>
        <w:rPr>
          <w:rFonts w:ascii="Times New Roman" w:hAnsi="Times New Roman" w:eastAsia="SimSun"/>
          <w:b w:val="0"/>
          <w:i w:val="0"/>
          <w:color w:val="000000"/>
          <w:sz w:val="18"/>
        </w:rPr>
        <w:t xml:space="preserve">Figure 2  Integrated framework with two TBU clocks. Right: FB level means, FB interaction contrasts, and RT coefficients under POST, FB and initial-cohort RBD9. Interaction contrasts compare high-minus-low effects between DGC=.4 and 0 (RT 7−2, TC .8−.2, GC .75−.25). Whiskers are pointwise HC3 95% intervals. Level p values use Holm8 and interaction p values Holm6 across the two main endpoints. SOURCE and GOVERNMENT are scripted publishers.</w:t>
      </w:r>
    </w:p>
    <w:p>
      <w:pPr>
        <w:sectPr>
          <w:footerReference r:id="rId5" w:type="default"/>
          <w:type w:val="nextPage"/>
          <w:pgSz w:w="16838" w:h="11905" w:orient="landscape"/>
          <w:pgMar w:top="950" w:right="1037" w:bottom="893" w:left="1037" w:header="346" w:footer="346" w:gutter="0"/>
          <w:cols w:space="720" w:num="1"/>
          <w:docGrid w:linePitch="360" w:charSpace="0"/>
        </w:sectPr>
      </w:pPr>
    </w:p>
    <w:p>
      <w:pPr>
        <w:pStyle w:val="3"/>
      </w:pPr>
      <w:r>
        <w:t>4 Belief updating measurement and analysis</w:t>
      </w:r>
    </w:p>
    <w:p>
      <w:r>
        <w:rPr>
          <w:rFonts w:ascii="Times New Roman" w:hAnsi="Times New Roman" w:eastAsia="SimSun"/>
          <w:b w:val="0"/>
          <w:i w:val="0"/>
          <w:color w:val="000000"/>
          <w:sz w:val="22"/>
        </w:rPr>
        <w:t>Synthetic personas vary in age (18–74), region, occupation, community experience, all 16 MBTI types, verification preference, sharing propensity and repetition sensitivity. The prompt requires all 11 assigned conditions, prior score, current evidence and actual exposure history. MiniMax-M3 returns an overall credibility score, three component scores (fund redirection, safety delay and their causal link), and separate comment/repost choices. Only the overall score determines belief: &gt;50 is believe; ≤50 is reject. Unjudged is a null, not-yet-assessed baseline, not a third attitude.</w:t>
      </w:r>
    </w:p>
    <w:p>
      <w:r>
        <w:rPr>
          <w:rFonts w:ascii="Times New Roman" w:hAnsi="Times New Roman" w:eastAsia="SimSun"/>
          <w:b w:val="0"/>
          <w:i w:val="0"/>
          <w:color w:val="000000"/>
          <w:sz w:val="22"/>
        </w:rPr>
        <w:t>Higher SOURCE trust is prompted to increase source persuasiveness. Government trust is prompted to lower acceptance of the allegation only after the official response has actually been read. Role descriptions use individual government trust below 1/3, from 1/3 to below 2/3, or at least 2/3 to express cautious, conditional or more favorable official-source attitudes. These are modeling assumptions; no fixed trust-weighted score or mandatory score increment is imposed.</w:t>
      </w:r>
    </w:p>
    <w:p>
      <w:r>
        <w:rPr>
          <w:rFonts w:ascii="Times New Roman" w:hAnsi="Times New Roman" w:eastAsia="SimSun"/>
          <w:b w:val="0"/>
          <w:i w:val="0"/>
          <w:color w:val="000000"/>
          <w:sz w:val="22"/>
        </w:rPr>
        <w:t>For repeat readings beyond the first, n, the prompt uses a saturating familiarity signal. With repetition sensitivity ρ, verification preference v and baseline sharing propensity p, the retained cue definitions are:</w:t>
      </w:r>
    </w:p>
    <w:p w14:paraId="46033473">
      <w:pPr>
        <w:spacing w:before="0" w:after="60" w:line="240" w:lineRule="auto"/>
        <w:jc w:val="center"/>
        <w:rPr>
          <w:rFonts w:hint="default" w:ascii="Times New Roman" w:hAnsi="Times New Roman" w:cs="Times New Roman"/>
        </w:rPr>
      </w:pPr>
      <m:oMathPara>
        <m:oMath>
          <m:r>
            <m:rPr>
              <m:nor/>
              <m:sty m:val="p"/>
            </m:rPr>
            <w:rPr>
              <w:rFonts w:hint="default" w:ascii="Times New Roman" w:hAnsi="Times New Roman" w:cs="Times New Roman"/>
              <w:b w:val="0"/>
              <w:i w:val="0"/>
            </w:rPr>
            <m:t>h = 1 − exp(−n/3).</m:t>
          </m:r>
        </m:oMath>
      </m:oMathPara>
    </w:p>
    <w:p w14:paraId="7DFEB972">
      <w:pPr>
        <w:spacing w:before="0" w:after="60" w:line="240" w:lineRule="auto"/>
        <w:jc w:val="center"/>
        <w:rPr>
          <w:rFonts w:hint="default" w:ascii="Times New Roman" w:hAnsi="Times New Roman" w:cs="Times New Roman"/>
        </w:rPr>
      </w:pPr>
      <m:oMathPara>
        <m:oMath>
          <m:r>
            <m:rPr>
              <m:nor/>
              <m:sty m:val="p"/>
            </m:rPr>
            <w:rPr>
              <w:rFonts w:hint="default" w:ascii="Times New Roman" w:hAnsi="Times New Roman" w:cs="Times New Roman"/>
              <w:b w:val="0"/>
              <w:i w:val="0"/>
            </w:rPr>
            <m:t>Δf = 0.35ρ(1 − 0.5v)h;</m:t>
          </m:r>
          <m:sSup>
            <m:sSupPr>
              <m:ctrlPr>
                <w:rPr>
                  <w:rFonts w:hint="default" w:ascii="Cambria Math" w:hAnsi="Cambria Math" w:cs="Times New Roman"/>
                </w:rPr>
              </m:ctrlPr>
            </m:sSupPr>
            <m:e>
              <m:r>
                <m:rPr>
                  <m:nor/>
                  <m:sty m:val="p"/>
                </m:rPr>
                <w:rPr>
                  <w:rFonts w:hint="default" w:ascii="Times New Roman" w:hAnsi="Times New Roman" w:cs="Times New Roman"/>
                  <w:b w:val="0"/>
                  <w:i w:val="0"/>
                </w:rPr>
                <m:t>p</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r>
            <m:rPr>
              <m:nor/>
              <m:sty m:val="p"/>
            </m:rPr>
            <w:rPr>
              <w:rFonts w:hint="default" w:ascii="Times New Roman" w:hAnsi="Times New Roman" w:cs="Times New Roman"/>
              <w:b w:val="0"/>
              <w:i w:val="0"/>
            </w:rPr>
            <m:t>= min(0.95, p + 0.25ρh).</m:t>
          </m:r>
        </m:oMath>
      </m:oMathPara>
    </w:p>
    <w:p>
      <w:r>
        <w:rPr>
          <w:rFonts w:ascii="Times New Roman" w:hAnsi="Times New Roman" w:eastAsia="SimSun"/>
          <w:b w:val="0"/>
          <w:i w:val="0"/>
          <w:color w:val="000000"/>
          <w:sz w:val="22"/>
        </w:rPr>
        <w:t>These coefficients are study settings, not fitted probabilities. Memory retains experiences from the previous three rounds, without replaying old public-comment transcripts. Scores, exposure counts and repost flags persist. Each visible root displays at most 30 earlier comments; commenting is voluntary, and at most one visible root may be commented on or reposted per user-round. Each root may be reposted only once per user. New actions become visible at the next round.</w:t>
      </w:r>
    </w:p>
    <w:p>
      <w:pPr>
        <w:pStyle w:val="4"/>
      </w:pPr>
      <w:r>
        <w:t>Outcome definitions</w:t>
      </w:r>
    </w:p>
    <w:p>
      <w:r>
        <w:rPr>
          <w:rFonts w:ascii="Times New Roman" w:hAnsi="Times New Roman" w:eastAsia="SimSun"/>
          <w:b w:val="0"/>
          <w:i w:val="0"/>
          <w:color w:val="000000"/>
          <w:sz w:val="22"/>
        </w:rPr>
        <w:t xml:space="preserve">Let b denote a user’s first observed belief round, RT the government publication round, and r the first observed belief-to-rejection transition at or after RT. Publication precedes decisions within its round, so same-round transitions qualify. We retain two clocks on the identical eligible users:</w:t>
      </w:r>
    </w:p>
    <w:p>
      <w:pPr>
        <w:spacing w:after="80"/>
        <w:jc w:val="center"/>
      </w:pPr>
      <m:oMathPara>
        <m:oMath>
          <m:sSubSup>
            <m:e>
              <m:r>
                <m:rPr>
                  <m:sty m:val="p"/>
                </m:rPr>
                <m:t>TBU</m:t>
              </m:r>
            </m:e>
            <m:sub>
              <m:r>
                <m:rPr>
                  <m:sty m:val="p"/>
                </m:rPr>
                <m:t>is</m:t>
              </m:r>
            </m:sub>
            <m:sup>
              <m:r>
                <m:rPr>
                  <m:sty m:val="p"/>
                </m:rPr>
                <m:t>POST</m:t>
              </m:r>
            </m:sup>
          </m:sSubSup>
          <m:r>
            <m:rPr>
              <m:sty m:val="p"/>
            </m:rPr>
            <m:t> = </m:t>
          </m:r>
          <m:sSub>
            <m:e>
              <m:r>
                <m:rPr>
                  <m:sty m:val="p"/>
                </m:rPr>
                <m:t>r</m:t>
              </m:r>
            </m:e>
            <m:sub>
              <m:r>
                <m:rPr>
                  <m:sty m:val="p"/>
                </m:rPr>
                <m:t>is</m:t>
              </m:r>
            </m:sub>
          </m:sSub>
          <m:r>
            <m:rPr>
              <m:sty m:val="p"/>
            </m:rPr>
            <m:t> − </m:t>
          </m:r>
          <m:sSub>
            <m:e>
              <m:r>
                <m:rPr>
                  <m:sty m:val="p"/>
                </m:rPr>
                <m:t>RT</m:t>
              </m:r>
            </m:e>
            <m:sub>
              <m:r>
                <m:rPr>
                  <m:sty m:val="p"/>
                </m:rPr>
                <m:t>s</m:t>
              </m:r>
            </m:sub>
          </m:sSub>
          <m:r>
            <m:rPr>
              <m:sty m:val="p"/>
            </m:rPr>
            <m:t>;   </m:t>
          </m:r>
          <m:sSubSup>
            <m:e>
              <m:r>
                <m:rPr>
                  <m:sty m:val="p"/>
                </m:rPr>
                <m:t>TBU</m:t>
              </m:r>
            </m:e>
            <m:sub>
              <m:r>
                <m:rPr>
                  <m:sty m:val="p"/>
                </m:rPr>
                <m:t>is</m:t>
              </m:r>
            </m:sub>
            <m:sup>
              <m:r>
                <m:rPr>
                  <m:sty m:val="p"/>
                </m:rPr>
                <m:t>FB</m:t>
              </m:r>
            </m:sup>
          </m:sSubSup>
          <m:r>
            <m:rPr>
              <m:sty m:val="p"/>
            </m:rPr>
            <m:t> = </m:t>
          </m:r>
          <m:sSub>
            <m:e>
              <m:r>
                <m:rPr>
                  <m:sty m:val="p"/>
                </m:rPr>
                <m:t>r</m:t>
              </m:r>
            </m:e>
            <m:sub>
              <m:r>
                <m:rPr>
                  <m:sty m:val="p"/>
                </m:rPr>
                <m:t>is</m:t>
              </m:r>
            </m:sub>
          </m:sSub>
          <m:r>
            <m:rPr>
              <m:sty m:val="p"/>
            </m:rPr>
            <m:t> − </m:t>
          </m:r>
          <m:sSub>
            <m:e>
              <m:r>
                <m:rPr>
                  <m:sty m:val="p"/>
                </m:rPr>
                <m:t>b</m:t>
              </m:r>
            </m:e>
            <m:sub>
              <m:r>
                <m:rPr>
                  <m:sty m:val="p"/>
                </m:rPr>
                <m:t>is</m:t>
              </m:r>
            </m:sub>
          </m:sSub>
          <m:r>
            <m:rPr>
              <m:sty m:val="p"/>
            </m:rPr>
            <m:t>   (</m:t>
          </m:r>
          <m:sSub>
            <m:e>
              <m:r>
                <m:rPr>
                  <m:sty m:val="p"/>
                </m:rPr>
                <m:t>r</m:t>
              </m:r>
            </m:e>
            <m:sub>
              <m:r>
                <m:rPr>
                  <m:sty m:val="p"/>
                </m:rPr>
                <m:t>is</m:t>
              </m:r>
            </m:sub>
          </m:sSub>
          <m:r>
            <m:rPr>
              <m:sty m:val="p"/>
            </m:rPr>
            <m:t> ≥ </m:t>
          </m:r>
          <m:sSub>
            <m:e>
              <m:r>
                <m:rPr>
                  <m:sty m:val="p"/>
                </m:rPr>
                <m:t>RT</m:t>
              </m:r>
            </m:e>
            <m:sub>
              <m:r>
                <m:rPr>
                  <m:sty m:val="p"/>
                </m:rPr>
                <m:t>s</m:t>
              </m:r>
            </m:sub>
          </m:sSub>
          <m:r>
            <m:rPr>
              <m:sty m:val="p"/>
            </m:rPr>
            <m:t>).</m:t>
          </m:r>
        </m:oMath>
      </m:oMathPara>
    </w:p>
    <w:p>
      <w:r>
        <w:rPr>
          <w:rFonts w:ascii="Times New Roman" w:hAnsi="Times New Roman" w:eastAsia="SimSun"/>
          <w:b w:val="0"/>
          <w:i w:val="0"/>
          <w:color w:val="000000"/>
          <w:sz w:val="20"/>
        </w:rPr>
        <w:t xml:space="preserve">Each scenario averages the two intervals over the same eligible users. Never-believers have no TBU. Unresolved first episodes are right-censored at round 10; a user who resolved before publication is excluded from the matched endpoints.</w:t>
      </w:r>
    </w:p>
    <w:p>
      <w:pPr>
        <w:pStyle w:val="15"/>
        <w:keepNext/>
      </w:pPr>
      <w:r>
        <w:rPr>
          <w:rFonts w:ascii="Times New Roman" w:hAnsi="Times New Roman" w:eastAsia="SimSun"/>
          <w:b w:val="0"/>
          <w:i w:val="0"/>
          <w:color w:val="000000"/>
          <w:sz w:val="18"/>
        </w:rPr>
        <w:t xml:space="preserve">Table 2  Two TBU clocks and supplementary endpoints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1613"/>
        <w:gridCol w:w="2592"/>
        <w:gridCol w:w="5515"/>
      </w:tblGrid>
      <w:tr>
        <w:trPr>
          <w:tblHeader/>
          <w:cantSplit/>
        </w:trPr>
        <w:tc>
          <w:tcPr>
            <w:tcW w:type="dxa" w:w="1613"/>
            <w:vAlign w:val="center"/>
            <w:shd w:fill="E5ECF1"/>
          </w:tcPr>
          <w:p>
            <w:pPr>
              <w:keepNext/>
              <w:spacing w:line="245" w:lineRule="auto" w:after="0" w:before="0"/>
              <w:jc w:val="left"/>
            </w:pPr>
            <w:r>
              <w:rPr>
                <w:rFonts w:ascii="Times New Roman" w:hAnsi="Times New Roman" w:eastAsia="SimSun"/>
                <w:b/>
                <w:i w:val="0"/>
                <w:color w:val="000000"/>
                <w:sz w:val="18"/>
              </w:rPr>
              <w:t xml:space="preserve">Endpoint</w:t>
            </w:r>
          </w:p>
        </w:tc>
        <w:tc>
          <w:tcPr>
            <w:tcW w:type="dxa" w:w="2592"/>
            <w:vAlign w:val="center"/>
            <w:shd w:fill="E5ECF1"/>
          </w:tcPr>
          <w:p>
            <w:pPr>
              <w:keepNext/>
              <w:spacing w:line="245" w:lineRule="auto" w:after="0" w:before="0"/>
              <w:jc w:val="left"/>
            </w:pPr>
            <w:r>
              <w:rPr>
                <w:rFonts w:ascii="Times New Roman" w:hAnsi="Times New Roman" w:eastAsia="SimSun"/>
                <w:b/>
                <w:i w:val="0"/>
                <w:color w:val="000000"/>
                <w:sz w:val="18"/>
              </w:rPr>
              <w:t xml:space="preserve">Population and scenario N</w:t>
            </w:r>
          </w:p>
        </w:tc>
        <w:tc>
          <w:tcPr>
            <w:tcW w:type="dxa" w:w="5515"/>
            <w:vAlign w:val="center"/>
            <w:shd w:fill="E5ECF1"/>
          </w:tcPr>
          <w:p>
            <w:pPr>
              <w:keepNext/>
              <w:spacing w:line="245" w:lineRule="auto" w:after="0" w:before="0"/>
              <w:jc w:val="left"/>
            </w:pPr>
            <w:r>
              <w:rPr>
                <w:rFonts w:ascii="Times New Roman" w:hAnsi="Times New Roman" w:eastAsia="SimSun"/>
                <w:b/>
                <w:i w:val="0"/>
                <w:color w:val="000000"/>
                <w:sz w:val="18"/>
              </w:rPr>
              <w:t xml:space="preserve">Clock and incomplete updates</w:t>
            </w:r>
          </w:p>
        </w:tc>
      </w:tr>
      <w:tr>
        <w:trPr>
          <w:cantSplit/>
        </w:trPr>
        <w:tc>
          <w:tcPr>
            <w:tcW w:type="dxa" w:w="1613"/>
            <w:vAlign w:val="center"/>
          </w:tcPr>
          <w:p>
            <w:pPr>
              <w:spacing w:line="245" w:lineRule="auto" w:after="0" w:before="0"/>
              <w:jc w:val="left"/>
            </w:pPr>
            <w:r>
              <w:rPr>
                <w:rFonts w:ascii="Times New Roman" w:hAnsi="Times New Roman" w:eastAsia="SimSun"/>
                <w:b w:val="0"/>
                <w:i w:val="0"/>
                <w:color w:val="000000"/>
                <w:sz w:val="18"/>
              </w:rPr>
              <w:t xml:space="preserve">POST TBU</w:t>
            </w:r>
          </w:p>
        </w:tc>
        <w:tc>
          <w:tcPr>
            <w:tcW w:type="dxa" w:w="2592"/>
            <w:vAlign w:val="center"/>
          </w:tcPr>
          <w:p>
            <w:pPr>
              <w:spacing w:line="245" w:lineRule="auto" w:after="0" w:before="0"/>
              <w:jc w:val="left"/>
            </w:pPr>
            <w:r>
              <w:rPr>
                <w:rFonts w:ascii="Times New Roman" w:hAnsi="Times New Roman" w:eastAsia="SimSun"/>
                <w:b w:val="0"/>
                <w:i w:val="0"/>
                <w:color w:val="000000"/>
                <w:sz w:val="18"/>
              </w:rPr>
              <w:t xml:space="preserve">757 matched updates; 54 means</w:t>
            </w:r>
          </w:p>
        </w:tc>
        <w:tc>
          <w:tcPr>
            <w:tcW w:type="dxa" w:w="5515"/>
            <w:vAlign w:val="center"/>
          </w:tcPr>
          <w:p>
            <w:pPr>
              <w:spacing w:line="245" w:lineRule="auto" w:after="0" w:before="0"/>
              <w:jc w:val="left"/>
            </w:pPr>
            <w:r>
              <w:rPr>
                <w:rFonts w:ascii="Times New Roman" w:hAnsi="Times New Roman" w:eastAsia="SimSun"/>
                <w:b w:val="0"/>
                <w:i w:val="0"/>
                <w:color w:val="000000"/>
                <w:sz w:val="18"/>
              </w:rPr>
              <w:t xml:space="preserve">Mean r−RT among users with first qualifying transition r≥RT.</w:t>
            </w:r>
          </w:p>
        </w:tc>
      </w:tr>
      <w:tr>
        <w:trPr>
          <w:cantSplit/>
        </w:trPr>
        <w:tc>
          <w:tcPr>
            <w:tcW w:type="dxa" w:w="1613"/>
            <w:vAlign w:val="center"/>
          </w:tcPr>
          <w:p>
            <w:pPr>
              <w:spacing w:line="245" w:lineRule="auto" w:after="0" w:before="0"/>
              <w:jc w:val="left"/>
            </w:pPr>
            <w:r>
              <w:rPr>
                <w:rFonts w:ascii="Times New Roman" w:hAnsi="Times New Roman" w:eastAsia="SimSun"/>
                <w:b w:val="0"/>
                <w:i w:val="0"/>
                <w:color w:val="000000"/>
                <w:sz w:val="18"/>
              </w:rPr>
              <w:t xml:space="preserve">FB TBU</w:t>
            </w:r>
          </w:p>
        </w:tc>
        <w:tc>
          <w:tcPr>
            <w:tcW w:type="dxa" w:w="2592"/>
            <w:vAlign w:val="center"/>
          </w:tcPr>
          <w:p>
            <w:pPr>
              <w:spacing w:line="245" w:lineRule="auto" w:after="0" w:before="0"/>
              <w:jc w:val="left"/>
            </w:pPr>
            <w:r>
              <w:rPr>
                <w:rFonts w:ascii="Times New Roman" w:hAnsi="Times New Roman" w:eastAsia="SimSun"/>
                <w:b w:val="0"/>
                <w:i w:val="0"/>
                <w:color w:val="000000"/>
                <w:sz w:val="18"/>
              </w:rPr>
              <w:t xml:space="preserve">Same 757 updates; 54 means</w:t>
            </w:r>
          </w:p>
        </w:tc>
        <w:tc>
          <w:tcPr>
            <w:tcW w:type="dxa" w:w="5515"/>
            <w:vAlign w:val="center"/>
          </w:tcPr>
          <w:p>
            <w:pPr>
              <w:spacing w:line="245" w:lineRule="auto" w:after="0" w:before="0"/>
              <w:jc w:val="left"/>
            </w:pPr>
            <w:r>
              <w:rPr>
                <w:rFonts w:ascii="Times New Roman" w:hAnsi="Times New Roman" w:eastAsia="SimSun"/>
                <w:b w:val="0"/>
                <w:i w:val="0"/>
                <w:color w:val="000000"/>
                <w:sz w:val="18"/>
              </w:rPr>
              <w:t xml:space="preserve">Mean r−b using first belief as the origin and the identical endpoint.</w:t>
            </w:r>
          </w:p>
        </w:tc>
      </w:tr>
      <w:tr>
        <w:trPr>
          <w:cantSplit/>
        </w:trPr>
        <w:tc>
          <w:tcPr>
            <w:tcW w:type="dxa" w:w="1613"/>
            <w:vAlign w:val="center"/>
          </w:tcPr>
          <w:p>
            <w:pPr>
              <w:spacing w:line="245" w:lineRule="auto" w:after="0" w:before="0"/>
              <w:jc w:val="left"/>
            </w:pPr>
            <w:r>
              <w:rPr>
                <w:rFonts w:ascii="Times New Roman" w:hAnsi="Times New Roman" w:eastAsia="SimSun"/>
                <w:b w:val="0"/>
                <w:i w:val="0"/>
                <w:color w:val="000000"/>
                <w:sz w:val="18"/>
              </w:rPr>
              <w:t xml:space="preserve">Strict legacy pair</w:t>
            </w:r>
          </w:p>
        </w:tc>
        <w:tc>
          <w:tcPr>
            <w:tcW w:type="dxa" w:w="2592"/>
            <w:vAlign w:val="center"/>
          </w:tcPr>
          <w:p>
            <w:pPr>
              <w:spacing w:line="245" w:lineRule="auto" w:after="0" w:before="0"/>
              <w:jc w:val="left"/>
            </w:pPr>
            <w:r>
              <w:rPr>
                <w:rFonts w:ascii="Times New Roman" w:hAnsi="Times New Roman" w:eastAsia="SimSun"/>
                <w:b w:val="0"/>
                <w:i w:val="0"/>
                <w:color w:val="000000"/>
                <w:sz w:val="18"/>
              </w:rPr>
              <w:t xml:space="preserve">475 updates; 52 means</w:t>
            </w:r>
          </w:p>
        </w:tc>
        <w:tc>
          <w:tcPr>
            <w:tcW w:type="dxa" w:w="5515"/>
            <w:vAlign w:val="center"/>
          </w:tcPr>
          <w:p>
            <w:pPr>
              <w:spacing w:line="245" w:lineRule="auto" w:after="0" w:before="0"/>
              <w:jc w:val="left"/>
            </w:pPr>
            <w:r>
              <w:rPr>
                <w:rFonts w:ascii="Times New Roman" w:hAnsi="Times New Roman" w:eastAsia="SimSun"/>
                <w:b w:val="0"/>
                <w:i w:val="0"/>
                <w:color w:val="000000"/>
                <w:sz w:val="18"/>
              </w:rPr>
              <w:t xml:space="preserve">Require r&gt;RT under both clocks; two empty means stay undefined.</w:t>
            </w:r>
          </w:p>
        </w:tc>
      </w:tr>
      <w:tr>
        <w:trPr>
          <w:cantSplit/>
        </w:trPr>
        <w:tc>
          <w:tcPr>
            <w:tcW w:type="dxa" w:w="1613"/>
            <w:vAlign w:val="center"/>
          </w:tcPr>
          <w:p>
            <w:pPr>
              <w:spacing w:line="245" w:lineRule="auto" w:after="0" w:before="0"/>
              <w:jc w:val="left"/>
            </w:pPr>
            <w:r>
              <w:rPr>
                <w:rFonts w:ascii="Times New Roman" w:hAnsi="Times New Roman" w:eastAsia="SimSun"/>
                <w:b w:val="0"/>
                <w:i w:val="0"/>
                <w:color w:val="000000"/>
                <w:sz w:val="18"/>
              </w:rPr>
              <w:t xml:space="preserve">Initial-cohort</w:t>
              <w:br/>
              <w:t xml:space="preserve">RBD9</w:t>
            </w:r>
          </w:p>
        </w:tc>
        <w:tc>
          <w:tcPr>
            <w:tcW w:type="dxa" w:w="2592"/>
            <w:vAlign w:val="center"/>
          </w:tcPr>
          <w:p>
            <w:pPr>
              <w:spacing w:line="245" w:lineRule="auto" w:after="0" w:before="0"/>
              <w:jc w:val="left"/>
            </w:pPr>
            <w:r>
              <w:rPr>
                <w:rFonts w:ascii="Times New Roman" w:hAnsi="Times New Roman" w:eastAsia="SimSun"/>
                <w:b w:val="0"/>
                <w:i w:val="0"/>
                <w:color w:val="000000"/>
                <w:sz w:val="18"/>
              </w:rPr>
              <w:t xml:space="preserve">911 step-1 believers; 54 means</w:t>
            </w:r>
          </w:p>
        </w:tc>
        <w:tc>
          <w:tcPr>
            <w:tcW w:type="dxa" w:w="5515"/>
            <w:vAlign w:val="center"/>
          </w:tcPr>
          <w:p>
            <w:pPr>
              <w:spacing w:line="245" w:lineRule="auto" w:after="0" w:before="0"/>
              <w:jc w:val="left"/>
            </w:pPr>
            <w:r>
              <w:rPr>
                <w:rFonts w:ascii="Times New Roman" w:hAnsi="Times New Roman" w:eastAsia="SimSun"/>
                <w:b w:val="0"/>
                <w:i w:val="0"/>
                <w:color w:val="000000"/>
                <w:sz w:val="18"/>
              </w:rPr>
              <w:t xml:space="preserve">Nine-step restricted first-episode duration; unresolved episodes contribute 9.</w:t>
            </w:r>
          </w:p>
        </w:tc>
      </w:tr>
    </w:tbl>
    <w:p>
      <w:pPr>
        <w:pStyle w:val="15"/>
      </w:pPr>
      <w:r>
        <w:rPr>
          <w:rFonts w:ascii="Times New Roman" w:hAnsi="Times New Roman" w:eastAsia="SimSun"/>
          <w:b w:val="0"/>
          <w:i w:val="0"/>
          <w:color w:val="000000"/>
          <w:sz w:val="18"/>
        </w:rPr>
        <w:t xml:space="preserve">POST and FB use the same 757 transitions. The strict legacy analysis excludes 282 publication-round updates; its two undefined scenario means remain missing. No result is interpolated.</w:t>
      </w:r>
    </w:p>
    <w:p>
      <w:r>
        <w:rPr>
          <w:rFonts w:ascii="Times New Roman" w:hAnsi="Times New Roman" w:eastAsia="SimSun"/>
          <w:b w:val="0"/>
          <w:i w:val="0"/>
          <w:color w:val="000000"/>
          <w:sz w:val="22"/>
        </w:rPr>
        <w:t xml:space="preserve">Scenario means are equally weighted. M1 includes numeric RT, TC and GC; M2 adds DGC; M3 adds DGC interactions with RT, TC and GC. Variables are centered at RT=13/3, TC=GC=.5 and DGC=.2. HC3 t/F inference is exploratory. Categorical level F tests and numeric linear-slope t tests have different null hypotheses. Joint Holm families cover eight level tests, twenty pairwise contrasts, eight numeric main slopes and six interactions across the two main clocks; within-clock corrections are also supplied. All 95% intervals are pointwise. Supplementary restricted durations address unresolved outcomes [6].</w:t>
      </w:r>
    </w:p>
    <w:p>
      <w:r>
        <w:br w:type="page"/>
      </w:r>
    </w:p>
    <w:p>
      <w:pPr>
        <w:pStyle w:val="3"/>
      </w:pPr>
      <w:r>
        <w:t>5 Results for factor-level differences</w:t>
      </w:r>
    </w:p>
    <w:p>
      <w:r>
        <w:rPr>
          <w:rFonts w:ascii="Times New Roman" w:hAnsi="Times New Roman" w:eastAsia="SimSun"/>
          <w:b w:val="0"/>
          <w:i w:val="0"/>
          <w:color w:val="000000"/>
          <w:sz w:val="22"/>
        </w:rPr>
        <w:t xml:space="preserve">All 54 scenarios completed ten rounds (540/540). Among 16,200 user-scenario instances, 980 ever believed: 757 first updates occurred at or after publication, 222 first episodes remained unresolved, and one resolved earlier. Of the 757 qualifying updates, 282 occurred in the publication round and 475 later. Equal-scenario mean TBU is 1.512 steps for POST and 4.557 for FB; event-weighted means are 1.472 and 4.428. The former means are used for scenario-level inference.</w:t>
      </w:r>
    </w:p>
    <w:p>
      <w:pPr>
        <w:keepNext/>
        <w:spacing w:after="0"/>
        <w:jc w:val="center"/>
      </w:pPr>
      <w:r>
        <w:drawing>
          <wp:inline xmlns:a="http://schemas.openxmlformats.org/drawingml/2006/main" xmlns:pic="http://schemas.openxmlformats.org/drawingml/2006/picture">
            <wp:extent cx="6172200" cy="3265004"/>
            <wp:docPr id="3" name="Picture 3"/>
            <wp:cNvGraphicFramePr>
              <a:graphicFrameLocks noChangeAspect="1"/>
            </wp:cNvGraphicFramePr>
            <a:graphic>
              <a:graphicData uri="http://schemas.openxmlformats.org/drawingml/2006/picture">
                <pic:pic>
                  <pic:nvPicPr>
                    <pic:cNvPr id="0" name="Figure3_level_composite.png"/>
                    <pic:cNvPicPr/>
                  </pic:nvPicPr>
                  <pic:blipFill>
                    <a:blip r:embed="rId14"/>
                    <a:stretch>
                      <a:fillRect/>
                    </a:stretch>
                  </pic:blipFill>
                  <pic:spPr>
                    <a:xfrm>
                      <a:off x="0" y="0"/>
                      <a:ext cx="6172200" cy="3265004"/>
                    </a:xfrm>
                    <a:prstGeom prst="rect"/>
                  </pic:spPr>
                </pic:pic>
              </a:graphicData>
            </a:graphic>
          </wp:inline>
        </w:drawing>
      </w:r>
    </w:p>
    <w:p>
      <w:pPr>
        <w:pStyle w:val="15"/>
      </w:pPr>
      <w:r>
        <w:rPr>
          <w:rFonts w:ascii="Times New Roman" w:hAnsi="Times New Roman" w:eastAsia="SimSun"/>
          <w:b w:val="0"/>
          <w:i w:val="0"/>
          <w:color w:val="000000"/>
          <w:sz w:val="18"/>
        </w:rPr>
        <w:t xml:space="preserve">Figure 3  Adjusted TBU under the two clocks. Top: POST; bottom: FB. Means are standardized equally over the complete factorial grid using separate categorical additive models (54 observations each). Error bars are pointwise HC3 95% intervals. Panel p values use Holm correction across eight omnibus tests for both endpoints.</w:t>
      </w:r>
    </w:p>
    <w:p>
      <w:pPr>
        <w:pStyle w:val="15"/>
        <w:keepNext/>
      </w:pPr>
      <w:r>
        <w:rPr>
          <w:rFonts w:ascii="Times New Roman" w:hAnsi="Times New Roman" w:eastAsia="SimSun"/>
          <w:b w:val="0"/>
          <w:i w:val="0"/>
          <w:color w:val="000000"/>
          <w:sz w:val="18"/>
        </w:rPr>
        <w:t xml:space="preserve">Table 3  Factor-level tests and high-minus-low contrasts under both clocks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720"/>
        <w:gridCol w:w="1224"/>
        <w:gridCol w:w="2448"/>
        <w:gridCol w:w="1224"/>
        <w:gridCol w:w="2448"/>
        <w:gridCol w:w="1656"/>
      </w:tblGrid>
      <w:tr>
        <w:trPr>
          <w:tblHeader/>
          <w:cantSplit/>
        </w:trPr>
        <w:tc>
          <w:tcPr>
            <w:tcW w:type="dxa" w:w="720"/>
            <w:vAlign w:val="center"/>
            <w:shd w:fill="E5ECF1"/>
          </w:tcPr>
          <w:p>
            <w:pPr>
              <w:keepNext/>
              <w:spacing w:line="245" w:lineRule="auto" w:after="0" w:before="0"/>
              <w:jc w:val="left"/>
            </w:pPr>
            <w:r>
              <w:rPr>
                <w:rFonts w:ascii="Times New Roman" w:hAnsi="Times New Roman" w:eastAsia="SimSun"/>
                <w:b/>
                <w:i w:val="0"/>
                <w:color w:val="000000"/>
                <w:sz w:val="18"/>
              </w:rPr>
              <w:t xml:space="preserve">Factor</w:t>
            </w:r>
          </w:p>
        </w:tc>
        <w:tc>
          <w:tcPr>
            <w:tcW w:type="dxa" w:w="1224"/>
            <w:vAlign w:val="center"/>
            <w:shd w:fill="E5ECF1"/>
          </w:tcPr>
          <w:p>
            <w:pPr>
              <w:keepNext/>
              <w:spacing w:line="245" w:lineRule="auto" w:after="0" w:before="0"/>
              <w:jc w:val="center"/>
            </w:pPr>
            <w:r>
              <w:rPr>
                <w:rFonts w:ascii="Times New Roman" w:hAnsi="Times New Roman" w:eastAsia="SimSun"/>
                <w:b/>
                <w:i w:val="0"/>
                <w:color w:val="000000"/>
                <w:sz w:val="18"/>
              </w:rPr>
              <w:t xml:space="preserve">POST F</w:t>
              <w:br/>
              <w:t xml:space="preserve">Holm p</w:t>
            </w:r>
          </w:p>
        </w:tc>
        <w:tc>
          <w:tcPr>
            <w:tcW w:type="dxa" w:w="2448"/>
            <w:vAlign w:val="center"/>
            <w:shd w:fill="E5ECF1"/>
          </w:tcPr>
          <w:p>
            <w:pPr>
              <w:keepNext/>
              <w:spacing w:line="245" w:lineRule="auto" w:after="0" w:before="0"/>
              <w:jc w:val="center"/>
            </w:pPr>
            <w:r>
              <w:rPr>
                <w:rFonts w:ascii="Times New Roman" w:hAnsi="Times New Roman" w:eastAsia="SimSun"/>
                <w:b/>
                <w:i w:val="0"/>
                <w:color w:val="000000"/>
                <w:sz w:val="18"/>
              </w:rPr>
              <w:t xml:space="preserve">POST contrast</w:t>
              <w:br/>
              <w:t xml:space="preserve">95% CI</w:t>
            </w:r>
          </w:p>
        </w:tc>
        <w:tc>
          <w:tcPr>
            <w:tcW w:type="dxa" w:w="1224"/>
            <w:vAlign w:val="center"/>
            <w:shd w:fill="E5ECF1"/>
          </w:tcPr>
          <w:p>
            <w:pPr>
              <w:keepNext/>
              <w:spacing w:line="245" w:lineRule="auto" w:after="0" w:before="0"/>
              <w:jc w:val="center"/>
            </w:pPr>
            <w:r>
              <w:rPr>
                <w:rFonts w:ascii="Times New Roman" w:hAnsi="Times New Roman" w:eastAsia="SimSun"/>
                <w:b/>
                <w:i w:val="0"/>
                <w:color w:val="000000"/>
                <w:sz w:val="18"/>
              </w:rPr>
              <w:t xml:space="preserve">FB F</w:t>
              <w:br/>
              <w:t xml:space="preserve">Holm p</w:t>
            </w:r>
          </w:p>
        </w:tc>
        <w:tc>
          <w:tcPr>
            <w:tcW w:type="dxa" w:w="2448"/>
            <w:vAlign w:val="center"/>
            <w:shd w:fill="E5ECF1"/>
          </w:tcPr>
          <w:p>
            <w:pPr>
              <w:keepNext/>
              <w:spacing w:line="245" w:lineRule="auto" w:after="0" w:before="0"/>
              <w:jc w:val="center"/>
            </w:pPr>
            <w:r>
              <w:rPr>
                <w:rFonts w:ascii="Times New Roman" w:hAnsi="Times New Roman" w:eastAsia="SimSun"/>
                <w:b/>
                <w:i w:val="0"/>
                <w:color w:val="000000"/>
                <w:sz w:val="18"/>
              </w:rPr>
              <w:t xml:space="preserve">FB contrast</w:t>
              <w:br/>
              <w:t xml:space="preserve">95% CI</w:t>
            </w:r>
          </w:p>
        </w:tc>
        <w:tc>
          <w:tcPr>
            <w:tcW w:type="dxa" w:w="1656"/>
            <w:vAlign w:val="center"/>
            <w:shd w:fill="E5ECF1"/>
          </w:tcPr>
          <w:p>
            <w:pPr>
              <w:keepNext/>
              <w:spacing w:line="245" w:lineRule="auto" w:after="0" w:before="0"/>
              <w:jc w:val="center"/>
            </w:pPr>
            <w:r>
              <w:rPr>
                <w:rFonts w:ascii="Times New Roman" w:hAnsi="Times New Roman" w:eastAsia="SimSun"/>
                <w:b/>
                <w:i w:val="0"/>
                <w:color w:val="000000"/>
                <w:sz w:val="18"/>
              </w:rPr>
              <w:t xml:space="preserve">Pair p</w:t>
              <w:br/>
              <w:t xml:space="preserve">POST / FB</w:t>
            </w:r>
          </w:p>
        </w:tc>
      </w:tr>
      <w:tr>
        <w:trPr>
          <w:cantSplit/>
        </w:trPr>
        <w:tc>
          <w:tcPr>
            <w:tcW w:type="dxa" w:w="720"/>
            <w:vAlign w:val="center"/>
          </w:tcPr>
          <w:p>
            <w:pPr>
              <w:spacing w:line="245" w:lineRule="auto" w:after="0" w:before="0"/>
              <w:jc w:val="left"/>
            </w:pPr>
            <w:r>
              <w:rPr>
                <w:rFonts w:ascii="Times New Roman" w:hAnsi="Times New Roman" w:eastAsia="SimSun"/>
                <w:b w:val="0"/>
                <w:i w:val="0"/>
                <w:color w:val="000000"/>
                <w:sz w:val="18"/>
              </w:rPr>
              <w:t xml:space="preserve">RT</w:t>
            </w:r>
          </w:p>
        </w:tc>
        <w:tc>
          <w:tcPr>
            <w:tcW w:type="dxa" w:w="1224"/>
            <w:vAlign w:val="center"/>
          </w:tcPr>
          <w:p>
            <w:pPr>
              <w:spacing w:line="245" w:lineRule="auto" w:after="0" w:before="0"/>
              <w:jc w:val="center"/>
            </w:pPr>
            <w:r>
              <w:rPr>
                <w:rFonts w:ascii="Times New Roman" w:hAnsi="Times New Roman" w:eastAsia="SimSun"/>
                <w:b w:val="0"/>
                <w:i w:val="0"/>
                <w:color w:val="000000"/>
                <w:sz w:val="18"/>
              </w:rPr>
              <w:t xml:space="preserve">4.447</w:t>
              <w:br/>
              <w:t xml:space="preserve">0.051</w:t>
            </w:r>
          </w:p>
        </w:tc>
        <w:tc>
          <w:tcPr>
            <w:tcW w:type="dxa" w:w="2448"/>
            <w:vAlign w:val="center"/>
          </w:tcPr>
          <w:p>
            <w:pPr>
              <w:spacing w:line="245" w:lineRule="auto" w:after="0" w:before="0"/>
              <w:jc w:val="center"/>
            </w:pPr>
            <w:r>
              <w:rPr>
                <w:rFonts w:ascii="Times New Roman" w:hAnsi="Times New Roman" w:eastAsia="SimSun"/>
                <w:b w:val="0"/>
                <w:i w:val="0"/>
                <w:color w:val="000000"/>
                <w:sz w:val="18"/>
              </w:rPr>
              <w:t xml:space="preserve">-0.836</w:t>
              <w:br/>
              <w:t xml:space="preserve">[-1.405, -0.267]</w:t>
            </w:r>
          </w:p>
        </w:tc>
        <w:tc>
          <w:tcPr>
            <w:tcW w:type="dxa" w:w="1224"/>
            <w:vAlign w:val="center"/>
          </w:tcPr>
          <w:p>
            <w:pPr>
              <w:spacing w:line="245" w:lineRule="auto" w:after="0" w:before="0"/>
              <w:jc w:val="center"/>
            </w:pPr>
            <w:r>
              <w:rPr>
                <w:rFonts w:ascii="Times New Roman" w:hAnsi="Times New Roman" w:eastAsia="SimSun"/>
                <w:b w:val="0"/>
                <w:i w:val="0"/>
                <w:color w:val="000000"/>
                <w:sz w:val="18"/>
              </w:rPr>
              <w:t xml:space="preserve">111.198</w:t>
              <w:br/>
              <w:t xml:space="preserve">&lt;.001</w:t>
            </w:r>
          </w:p>
        </w:tc>
        <w:tc>
          <w:tcPr>
            <w:tcW w:type="dxa" w:w="2448"/>
            <w:vAlign w:val="center"/>
          </w:tcPr>
          <w:p>
            <w:pPr>
              <w:spacing w:line="245" w:lineRule="auto" w:after="0" w:before="0"/>
              <w:jc w:val="center"/>
            </w:pPr>
            <w:r>
              <w:rPr>
                <w:rFonts w:ascii="Times New Roman" w:hAnsi="Times New Roman" w:eastAsia="SimSun"/>
                <w:b w:val="0"/>
                <w:i w:val="0"/>
                <w:color w:val="000000"/>
                <w:sz w:val="18"/>
              </w:rPr>
              <w:t xml:space="preserve">3.838</w:t>
              <w:br/>
              <w:t xml:space="preserve">[3.317, 4.358]</w:t>
            </w:r>
          </w:p>
        </w:tc>
        <w:tc>
          <w:tcPr>
            <w:tcW w:type="dxa" w:w="1656"/>
            <w:vAlign w:val="center"/>
          </w:tcPr>
          <w:p>
            <w:pPr>
              <w:spacing w:line="245" w:lineRule="auto" w:after="0" w:before="0"/>
              <w:jc w:val="center"/>
            </w:pPr>
            <w:r>
              <w:rPr>
                <w:rFonts w:ascii="Times New Roman" w:hAnsi="Times New Roman" w:eastAsia="SimSun"/>
                <w:b w:val="0"/>
                <w:i w:val="0"/>
                <w:color w:val="000000"/>
                <w:sz w:val="18"/>
              </w:rPr>
              <w:t xml:space="preserve">0.054 /</w:t>
              <w:br/>
              <w:t xml:space="preserve">&lt;.001</w:t>
            </w:r>
          </w:p>
        </w:tc>
      </w:tr>
      <w:tr>
        <w:trPr>
          <w:cantSplit/>
        </w:trPr>
        <w:tc>
          <w:tcPr>
            <w:tcW w:type="dxa" w:w="720"/>
            <w:vAlign w:val="center"/>
          </w:tcPr>
          <w:p>
            <w:pPr>
              <w:spacing w:line="245" w:lineRule="auto" w:after="0" w:before="0"/>
              <w:jc w:val="left"/>
            </w:pPr>
            <w:r>
              <w:rPr>
                <w:rFonts w:ascii="Times New Roman" w:hAnsi="Times New Roman" w:eastAsia="SimSun"/>
                <w:b w:val="0"/>
                <w:i w:val="0"/>
                <w:color w:val="000000"/>
                <w:sz w:val="18"/>
              </w:rPr>
              <w:t xml:space="preserve">TC</w:t>
            </w:r>
          </w:p>
        </w:tc>
        <w:tc>
          <w:tcPr>
            <w:tcW w:type="dxa" w:w="1224"/>
            <w:vAlign w:val="center"/>
          </w:tcPr>
          <w:p>
            <w:pPr>
              <w:spacing w:line="245" w:lineRule="auto" w:after="0" w:before="0"/>
              <w:jc w:val="center"/>
            </w:pPr>
            <w:r>
              <w:rPr>
                <w:rFonts w:ascii="Times New Roman" w:hAnsi="Times New Roman" w:eastAsia="SimSun"/>
                <w:b w:val="0"/>
                <w:i w:val="0"/>
                <w:color w:val="000000"/>
                <w:sz w:val="18"/>
              </w:rPr>
              <w:t xml:space="preserve">17.803</w:t>
              <w:br/>
              <w:t xml:space="preserve">&lt;.001</w:t>
            </w:r>
          </w:p>
        </w:tc>
        <w:tc>
          <w:tcPr>
            <w:tcW w:type="dxa" w:w="2448"/>
            <w:vAlign w:val="center"/>
          </w:tcPr>
          <w:p>
            <w:pPr>
              <w:spacing w:line="245" w:lineRule="auto" w:after="0" w:before="0"/>
              <w:jc w:val="center"/>
            </w:pPr>
            <w:r>
              <w:rPr>
                <w:rFonts w:ascii="Times New Roman" w:hAnsi="Times New Roman" w:eastAsia="SimSun"/>
                <w:b w:val="0"/>
                <w:i w:val="0"/>
                <w:color w:val="000000"/>
                <w:sz w:val="18"/>
              </w:rPr>
              <w:t xml:space="preserve">-0.908</w:t>
              <w:br/>
              <w:t xml:space="preserve">[-1.342, -0.475]</w:t>
            </w:r>
          </w:p>
        </w:tc>
        <w:tc>
          <w:tcPr>
            <w:tcW w:type="dxa" w:w="1224"/>
            <w:vAlign w:val="center"/>
          </w:tcPr>
          <w:p>
            <w:pPr>
              <w:spacing w:line="245" w:lineRule="auto" w:after="0" w:before="0"/>
              <w:jc w:val="center"/>
            </w:pPr>
            <w:r>
              <w:rPr>
                <w:rFonts w:ascii="Times New Roman" w:hAnsi="Times New Roman" w:eastAsia="SimSun"/>
                <w:b w:val="0"/>
                <w:i w:val="0"/>
                <w:color w:val="000000"/>
                <w:sz w:val="18"/>
              </w:rPr>
              <w:t xml:space="preserve">18.050</w:t>
              <w:br/>
              <w:t xml:space="preserve">&lt;.001</w:t>
            </w:r>
          </w:p>
        </w:tc>
        <w:tc>
          <w:tcPr>
            <w:tcW w:type="dxa" w:w="2448"/>
            <w:vAlign w:val="center"/>
          </w:tcPr>
          <w:p>
            <w:pPr>
              <w:spacing w:line="245" w:lineRule="auto" w:after="0" w:before="0"/>
              <w:jc w:val="center"/>
            </w:pPr>
            <w:r>
              <w:rPr>
                <w:rFonts w:ascii="Times New Roman" w:hAnsi="Times New Roman" w:eastAsia="SimSun"/>
                <w:b w:val="0"/>
                <w:i w:val="0"/>
                <w:color w:val="000000"/>
                <w:sz w:val="18"/>
              </w:rPr>
              <w:t xml:space="preserve">-0.806</w:t>
              <w:br/>
              <w:t xml:space="preserve">[-1.187, -0.424]</w:t>
            </w:r>
          </w:p>
        </w:tc>
        <w:tc>
          <w:tcPr>
            <w:tcW w:type="dxa" w:w="1656"/>
            <w:vAlign w:val="center"/>
          </w:tcPr>
          <w:p>
            <w:pPr>
              <w:spacing w:line="245" w:lineRule="auto" w:after="0" w:before="0"/>
              <w:jc w:val="center"/>
            </w:pPr>
            <w:r>
              <w:rPr>
                <w:rFonts w:ascii="Times New Roman" w:hAnsi="Times New Roman" w:eastAsia="SimSun"/>
                <w:b w:val="0"/>
                <w:i w:val="0"/>
                <w:color w:val="000000"/>
                <w:sz w:val="18"/>
              </w:rPr>
              <w:t xml:space="preserve">0.002 /</w:t>
              <w:br/>
              <w:t xml:space="preserve">0.002</w:t>
            </w:r>
          </w:p>
        </w:tc>
      </w:tr>
      <w:tr>
        <w:trPr>
          <w:cantSplit/>
        </w:trPr>
        <w:tc>
          <w:tcPr>
            <w:tcW w:type="dxa" w:w="720"/>
            <w:vAlign w:val="center"/>
          </w:tcPr>
          <w:p>
            <w:pPr>
              <w:spacing w:line="245" w:lineRule="auto" w:after="0" w:before="0"/>
              <w:jc w:val="left"/>
            </w:pPr>
            <w:r>
              <w:rPr>
                <w:rFonts w:ascii="Times New Roman" w:hAnsi="Times New Roman" w:eastAsia="SimSun"/>
                <w:b w:val="0"/>
                <w:i w:val="0"/>
                <w:color w:val="000000"/>
                <w:sz w:val="18"/>
              </w:rPr>
              <w:t xml:space="preserve">GC</w:t>
            </w:r>
          </w:p>
        </w:tc>
        <w:tc>
          <w:tcPr>
            <w:tcW w:type="dxa" w:w="1224"/>
            <w:vAlign w:val="center"/>
          </w:tcPr>
          <w:p>
            <w:pPr>
              <w:spacing w:line="245" w:lineRule="auto" w:after="0" w:before="0"/>
              <w:jc w:val="center"/>
            </w:pPr>
            <w:r>
              <w:rPr>
                <w:rFonts w:ascii="Times New Roman" w:hAnsi="Times New Roman" w:eastAsia="SimSun"/>
                <w:b w:val="0"/>
                <w:i w:val="0"/>
                <w:color w:val="000000"/>
                <w:sz w:val="18"/>
              </w:rPr>
              <w:t xml:space="preserve">8.421</w:t>
              <w:br/>
              <w:t xml:space="preserve">0.003</w:t>
            </w:r>
          </w:p>
        </w:tc>
        <w:tc>
          <w:tcPr>
            <w:tcW w:type="dxa" w:w="2448"/>
            <w:vAlign w:val="center"/>
          </w:tcPr>
          <w:p>
            <w:pPr>
              <w:spacing w:line="245" w:lineRule="auto" w:after="0" w:before="0"/>
              <w:jc w:val="center"/>
            </w:pPr>
            <w:r>
              <w:rPr>
                <w:rFonts w:ascii="Times New Roman" w:hAnsi="Times New Roman" w:eastAsia="SimSun"/>
                <w:b w:val="0"/>
                <w:i w:val="0"/>
                <w:color w:val="000000"/>
                <w:sz w:val="18"/>
              </w:rPr>
              <w:t xml:space="preserve">-1.192</w:t>
              <w:br/>
              <w:t xml:space="preserve">[-1.778, -0.605]</w:t>
            </w:r>
          </w:p>
        </w:tc>
        <w:tc>
          <w:tcPr>
            <w:tcW w:type="dxa" w:w="1224"/>
            <w:vAlign w:val="center"/>
          </w:tcPr>
          <w:p>
            <w:pPr>
              <w:spacing w:line="245" w:lineRule="auto" w:after="0" w:before="0"/>
              <w:jc w:val="center"/>
            </w:pPr>
            <w:r>
              <w:rPr>
                <w:rFonts w:ascii="Times New Roman" w:hAnsi="Times New Roman" w:eastAsia="SimSun"/>
                <w:b w:val="0"/>
                <w:i w:val="0"/>
                <w:color w:val="000000"/>
                <w:sz w:val="18"/>
              </w:rPr>
              <w:t xml:space="preserve">16.170</w:t>
              <w:br/>
              <w:t xml:space="preserve">&lt;.001</w:t>
            </w:r>
          </w:p>
        </w:tc>
        <w:tc>
          <w:tcPr>
            <w:tcW w:type="dxa" w:w="2448"/>
            <w:vAlign w:val="center"/>
          </w:tcPr>
          <w:p>
            <w:pPr>
              <w:spacing w:line="245" w:lineRule="auto" w:after="0" w:before="0"/>
              <w:jc w:val="center"/>
            </w:pPr>
            <w:r>
              <w:rPr>
                <w:rFonts w:ascii="Times New Roman" w:hAnsi="Times New Roman" w:eastAsia="SimSun"/>
                <w:b w:val="0"/>
                <w:i w:val="0"/>
                <w:color w:val="000000"/>
                <w:sz w:val="18"/>
              </w:rPr>
              <w:t xml:space="preserve">-1.348</w:t>
              <w:br/>
              <w:t xml:space="preserve">[-1.831, -0.865]</w:t>
            </w:r>
          </w:p>
        </w:tc>
        <w:tc>
          <w:tcPr>
            <w:tcW w:type="dxa" w:w="1656"/>
            <w:vAlign w:val="center"/>
          </w:tcPr>
          <w:p>
            <w:pPr>
              <w:spacing w:line="245" w:lineRule="auto" w:after="0" w:before="0"/>
              <w:jc w:val="center"/>
            </w:pPr>
            <w:r>
              <w:rPr>
                <w:rFonts w:ascii="Times New Roman" w:hAnsi="Times New Roman" w:eastAsia="SimSun"/>
                <w:b w:val="0"/>
                <w:i w:val="0"/>
                <w:color w:val="000000"/>
                <w:sz w:val="18"/>
              </w:rPr>
              <w:t xml:space="preserve">0.002 /</w:t>
              <w:br/>
              <w:t xml:space="preserve">&lt;.001</w:t>
            </w:r>
          </w:p>
        </w:tc>
      </w:tr>
      <w:tr>
        <w:trPr>
          <w:cantSplit/>
        </w:trPr>
        <w:tc>
          <w:tcPr>
            <w:tcW w:type="dxa" w:w="720"/>
            <w:vAlign w:val="center"/>
          </w:tcPr>
          <w:p>
            <w:pPr>
              <w:spacing w:line="245" w:lineRule="auto" w:after="0" w:before="0"/>
              <w:jc w:val="left"/>
            </w:pPr>
            <w:r>
              <w:rPr>
                <w:rFonts w:ascii="Times New Roman" w:hAnsi="Times New Roman" w:eastAsia="SimSun"/>
                <w:b w:val="0"/>
                <w:i w:val="0"/>
                <w:color w:val="000000"/>
                <w:sz w:val="18"/>
              </w:rPr>
              <w:t xml:space="preserve">DGC</w:t>
            </w:r>
          </w:p>
        </w:tc>
        <w:tc>
          <w:tcPr>
            <w:tcW w:type="dxa" w:w="1224"/>
            <w:vAlign w:val="center"/>
          </w:tcPr>
          <w:p>
            <w:pPr>
              <w:spacing w:line="245" w:lineRule="auto" w:after="0" w:before="0"/>
              <w:jc w:val="center"/>
            </w:pPr>
            <w:r>
              <w:rPr>
                <w:rFonts w:ascii="Times New Roman" w:hAnsi="Times New Roman" w:eastAsia="SimSun"/>
                <w:b w:val="0"/>
                <w:i w:val="0"/>
                <w:color w:val="000000"/>
                <w:sz w:val="18"/>
              </w:rPr>
              <w:t xml:space="preserve">1.132</w:t>
              <w:br/>
              <w:t xml:space="preserve">0.331</w:t>
            </w:r>
          </w:p>
        </w:tc>
        <w:tc>
          <w:tcPr>
            <w:tcW w:type="dxa" w:w="2448"/>
            <w:vAlign w:val="center"/>
          </w:tcPr>
          <w:p>
            <w:pPr>
              <w:spacing w:line="245" w:lineRule="auto" w:after="0" w:before="0"/>
              <w:jc w:val="center"/>
            </w:pPr>
            <w:r>
              <w:rPr>
                <w:rFonts w:ascii="Times New Roman" w:hAnsi="Times New Roman" w:eastAsia="SimSun"/>
                <w:b w:val="0"/>
                <w:i w:val="0"/>
                <w:color w:val="000000"/>
                <w:sz w:val="18"/>
              </w:rPr>
              <w:t xml:space="preserve">0.047</w:t>
              <w:br/>
              <w:t xml:space="preserve">[-0.470, 0.564]</w:t>
            </w:r>
          </w:p>
        </w:tc>
        <w:tc>
          <w:tcPr>
            <w:tcW w:type="dxa" w:w="1224"/>
            <w:vAlign w:val="center"/>
          </w:tcPr>
          <w:p>
            <w:pPr>
              <w:spacing w:line="245" w:lineRule="auto" w:after="0" w:before="0"/>
              <w:jc w:val="center"/>
            </w:pPr>
            <w:r>
              <w:rPr>
                <w:rFonts w:ascii="Times New Roman" w:hAnsi="Times New Roman" w:eastAsia="SimSun"/>
                <w:b w:val="0"/>
                <w:i w:val="0"/>
                <w:color w:val="000000"/>
                <w:sz w:val="18"/>
              </w:rPr>
              <w:t xml:space="preserve">2.086</w:t>
              <w:br/>
              <w:t xml:space="preserve">0.272</w:t>
            </w:r>
          </w:p>
        </w:tc>
        <w:tc>
          <w:tcPr>
            <w:tcW w:type="dxa" w:w="2448"/>
            <w:vAlign w:val="center"/>
          </w:tcPr>
          <w:p>
            <w:pPr>
              <w:spacing w:line="245" w:lineRule="auto" w:after="0" w:before="0"/>
              <w:jc w:val="center"/>
            </w:pPr>
            <w:r>
              <w:rPr>
                <w:rFonts w:ascii="Times New Roman" w:hAnsi="Times New Roman" w:eastAsia="SimSun"/>
                <w:b w:val="0"/>
                <w:i w:val="0"/>
                <w:color w:val="000000"/>
                <w:sz w:val="18"/>
              </w:rPr>
              <w:t xml:space="preserve">0.403</w:t>
              <w:br/>
              <w:t xml:space="preserve">[-0.023, 0.829]</w:t>
            </w:r>
          </w:p>
        </w:tc>
        <w:tc>
          <w:tcPr>
            <w:tcW w:type="dxa" w:w="1656"/>
            <w:vAlign w:val="center"/>
          </w:tcPr>
          <w:p>
            <w:pPr>
              <w:spacing w:line="245" w:lineRule="auto" w:after="0" w:before="0"/>
              <w:jc w:val="center"/>
            </w:pPr>
            <w:r>
              <w:rPr>
                <w:rFonts w:ascii="Times New Roman" w:hAnsi="Times New Roman" w:eastAsia="SimSun"/>
                <w:b w:val="0"/>
                <w:i w:val="0"/>
                <w:color w:val="000000"/>
                <w:sz w:val="18"/>
              </w:rPr>
              <w:t xml:space="preserve">1.000 /</w:t>
              <w:br/>
              <w:t xml:space="preserve">0.505</w:t>
            </w:r>
          </w:p>
        </w:tc>
      </w:tr>
    </w:tbl>
    <w:p>
      <w:pPr>
        <w:pStyle w:val="15"/>
      </w:pPr>
      <w:r>
        <w:rPr>
          <w:rFonts w:ascii="Times New Roman" w:hAnsi="Times New Roman" w:eastAsia="SimSun"/>
          <w:b w:val="0"/>
          <w:i w:val="0"/>
          <w:color w:val="000000"/>
          <w:sz w:val="18"/>
        </w:rPr>
        <w:t xml:space="preserve">F tests use df=(2,46), except TC=(1,46); p in the F columns is joint Holm8. Contrasts are RT 7−2, TC .8−.2, GC .75−.25 and DGC .4−0; the last column gives joint Holm20 p. Confidence intervals are pointwise. Models adjust for all other categorical factors.</w:t>
      </w:r>
    </w:p>
    <w:p>
      <w:r>
        <w:rPr>
          <w:rFonts w:ascii="Times New Roman" w:hAnsi="Times New Roman" w:eastAsia="SimSun"/>
          <w:b w:val="0"/>
          <w:i w:val="0"/>
          <w:color w:val="000000"/>
          <w:sz w:val="22"/>
        </w:rPr>
        <w:t xml:space="preserve">RT=7 versus 2 changes adjusted POST TBU by -0.836 steps but FB TBU by +3.838. Under FB, higher TC corresponds to -0.806 steps and higher GC to -1.348 steps. TC and GC level differences survive correction across both clocks. DGC does not. The opposite RT directions follow from the clocks’ different starting points and cannot be described as contradictory estimates of one outcome.</w:t>
      </w:r>
    </w:p>
    <w:p>
      <w:r>
        <w:br w:type="page"/>
      </w:r>
    </w:p>
    <w:p>
      <w:pPr>
        <w:pStyle w:val="3"/>
      </w:pPr>
      <w:r>
        <w:t>6 Results for cocooning moderation</w:t>
      </w:r>
    </w:p>
    <w:p>
      <w:r>
        <w:rPr>
          <w:rFonts w:ascii="Times New Roman" w:hAnsi="Times New Roman" w:eastAsia="SimSun"/>
          <w:b w:val="0"/>
          <w:i w:val="0"/>
          <w:color w:val="000000"/>
          <w:sz w:val="22"/>
        </w:rPr>
        <w:t xml:space="preserve">Adding the three DGC interactions to M2 gives a joint HC3 F(3,46)=1.765, p=0.167 for POST and F(3,46)=1.100, p=0.359 for FB. None of the separate interaction tests survives the joint six-test Holm correction. Improved fit or different-looking within-DGC slopes does not itself establish moderation.</w:t>
      </w:r>
    </w:p>
    <w:p>
      <w:pPr>
        <w:keepNext/>
        <w:spacing w:after="0"/>
        <w:jc w:val="center"/>
      </w:pPr>
      <w:r>
        <w:drawing>
          <wp:inline xmlns:a="http://schemas.openxmlformats.org/drawingml/2006/main" xmlns:pic="http://schemas.openxmlformats.org/drawingml/2006/picture">
            <wp:extent cx="6172200" cy="3399183"/>
            <wp:docPr id="4" name="Picture 4"/>
            <wp:cNvGraphicFramePr>
              <a:graphicFrameLocks noChangeAspect="1"/>
            </wp:cNvGraphicFramePr>
            <a:graphic>
              <a:graphicData uri="http://schemas.openxmlformats.org/drawingml/2006/picture">
                <pic:pic>
                  <pic:nvPicPr>
                    <pic:cNvPr id="0" name="Figure4_moderation_sensitivity_composite.png"/>
                    <pic:cNvPicPr/>
                  </pic:nvPicPr>
                  <pic:blipFill>
                    <a:blip r:embed="rId15"/>
                    <a:stretch>
                      <a:fillRect/>
                    </a:stretch>
                  </pic:blipFill>
                  <pic:spPr>
                    <a:xfrm>
                      <a:off x="0" y="0"/>
                      <a:ext cx="6172200" cy="3399183"/>
                    </a:xfrm>
                    <a:prstGeom prst="rect"/>
                  </pic:spPr>
                </pic:pic>
              </a:graphicData>
            </a:graphic>
          </wp:inline>
        </w:drawing>
      </w:r>
    </w:p>
    <w:p>
      <w:pPr>
        <w:pStyle w:val="15"/>
      </w:pPr>
      <w:r>
        <w:rPr>
          <w:rFonts w:ascii="Times New Roman" w:hAnsi="Times New Roman" w:eastAsia="SimSun"/>
          <w:b w:val="0"/>
          <w:i w:val="0"/>
          <w:color w:val="000000"/>
          <w:sz w:val="18"/>
        </w:rPr>
        <w:t xml:space="preserve">Figure 4  Conditional effects under POST (top) and FB (bottom). Columns show RT+1 step, TC .80−.20 and GC+.25 at DGC=0, .2 and .4. Error bars are pointwise HC3 95% intervals. Interaction p values are adjusted across the six terms under both clocks. Within-stratum significance is distinct from an interaction test.</w:t>
      </w:r>
    </w:p>
    <w:p>
      <w:pPr>
        <w:pStyle w:val="15"/>
        <w:keepNext/>
      </w:pPr>
      <w:r>
        <w:rPr>
          <w:rFonts w:ascii="Times New Roman" w:hAnsi="Times New Roman" w:eastAsia="SimSun"/>
          <w:b w:val="0"/>
          <w:i w:val="0"/>
          <w:color w:val="000000"/>
          <w:sz w:val="18"/>
        </w:rPr>
        <w:t xml:space="preserve">Table 4  Numeric M3 coefficients under both clocks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1512"/>
        <w:gridCol w:w="792"/>
        <w:gridCol w:w="2376"/>
        <w:gridCol w:w="792"/>
        <w:gridCol w:w="2376"/>
        <w:gridCol w:w="1872"/>
      </w:tblGrid>
      <w:tr>
        <w:trPr>
          <w:tblHeader/>
          <w:cantSplit/>
        </w:trPr>
        <w:tc>
          <w:tcPr>
            <w:tcW w:type="dxa" w:w="1512"/>
            <w:vAlign w:val="center"/>
            <w:shd w:fill="E5ECF1"/>
          </w:tcPr>
          <w:p>
            <w:pPr>
              <w:keepNext/>
              <w:spacing w:line="245" w:lineRule="auto" w:after="0" w:before="0"/>
              <w:jc w:val="left"/>
            </w:pPr>
            <w:r>
              <w:rPr>
                <w:rFonts w:ascii="Times New Roman" w:hAnsi="Times New Roman" w:eastAsia="SimSun"/>
                <w:b/>
                <w:i w:val="0"/>
                <w:color w:val="000000"/>
                <w:sz w:val="19"/>
              </w:rPr>
              <w:t xml:space="preserve">Term</w:t>
            </w:r>
          </w:p>
        </w:tc>
        <w:tc>
          <w:tcPr>
            <w:tcW w:type="dxa" w:w="792"/>
            <w:vAlign w:val="center"/>
            <w:shd w:fill="E5ECF1"/>
          </w:tcPr>
          <w:p>
            <w:pPr>
              <w:keepNext/>
              <w:spacing w:line="245" w:lineRule="auto" w:after="0" w:before="0"/>
              <w:jc w:val="center"/>
            </w:pPr>
            <w:r>
              <w:rPr>
                <w:rFonts w:ascii="Times New Roman" w:hAnsi="Times New Roman" w:eastAsia="SimSun"/>
                <w:b/>
                <w:i w:val="0"/>
                <w:color w:val="000000"/>
                <w:sz w:val="19"/>
              </w:rPr>
              <w:t xml:space="preserve">POST b</w:t>
            </w:r>
          </w:p>
        </w:tc>
        <w:tc>
          <w:tcPr>
            <w:tcW w:type="dxa" w:w="2376"/>
            <w:vAlign w:val="center"/>
            <w:shd w:fill="E5ECF1"/>
          </w:tcPr>
          <w:p>
            <w:pPr>
              <w:keepNext/>
              <w:spacing w:line="245" w:lineRule="auto" w:after="0" w:before="0"/>
              <w:jc w:val="center"/>
            </w:pPr>
            <w:r>
              <w:rPr>
                <w:rFonts w:ascii="Times New Roman" w:hAnsi="Times New Roman" w:eastAsia="SimSun"/>
                <w:b/>
                <w:i w:val="0"/>
                <w:color w:val="000000"/>
                <w:sz w:val="19"/>
              </w:rPr>
              <w:t xml:space="preserve">POST 95% CI</w:t>
            </w:r>
          </w:p>
        </w:tc>
        <w:tc>
          <w:tcPr>
            <w:tcW w:type="dxa" w:w="792"/>
            <w:vAlign w:val="center"/>
            <w:shd w:fill="E5ECF1"/>
          </w:tcPr>
          <w:p>
            <w:pPr>
              <w:keepNext/>
              <w:spacing w:line="245" w:lineRule="auto" w:after="0" w:before="0"/>
              <w:jc w:val="center"/>
            </w:pPr>
            <w:r>
              <w:rPr>
                <w:rFonts w:ascii="Times New Roman" w:hAnsi="Times New Roman" w:eastAsia="SimSun"/>
                <w:b/>
                <w:i w:val="0"/>
                <w:color w:val="000000"/>
                <w:sz w:val="19"/>
              </w:rPr>
              <w:t xml:space="preserve">FB b</w:t>
            </w:r>
          </w:p>
        </w:tc>
        <w:tc>
          <w:tcPr>
            <w:tcW w:type="dxa" w:w="2376"/>
            <w:vAlign w:val="center"/>
            <w:shd w:fill="E5ECF1"/>
          </w:tcPr>
          <w:p>
            <w:pPr>
              <w:keepNext/>
              <w:spacing w:line="245" w:lineRule="auto" w:after="0" w:before="0"/>
              <w:jc w:val="center"/>
            </w:pPr>
            <w:r>
              <w:rPr>
                <w:rFonts w:ascii="Times New Roman" w:hAnsi="Times New Roman" w:eastAsia="SimSun"/>
                <w:b/>
                <w:i w:val="0"/>
                <w:color w:val="000000"/>
                <w:sz w:val="19"/>
              </w:rPr>
              <w:t xml:space="preserve">FB 95% CI</w:t>
            </w:r>
          </w:p>
        </w:tc>
        <w:tc>
          <w:tcPr>
            <w:tcW w:type="dxa" w:w="1872"/>
            <w:vAlign w:val="center"/>
            <w:shd w:fill="E5ECF1"/>
          </w:tcPr>
          <w:p>
            <w:pPr>
              <w:keepNext/>
              <w:spacing w:line="245" w:lineRule="auto" w:after="0" w:before="0"/>
              <w:jc w:val="center"/>
            </w:pPr>
            <w:r>
              <w:rPr>
                <w:rFonts w:ascii="Times New Roman" w:hAnsi="Times New Roman" w:eastAsia="SimSun"/>
                <w:b/>
                <w:i w:val="0"/>
                <w:color w:val="000000"/>
                <w:sz w:val="19"/>
              </w:rPr>
              <w:t xml:space="preserve">Holm p</w:t>
              <w:br/>
              <w:t xml:space="preserve">POST / FB</w:t>
            </w:r>
          </w:p>
        </w:tc>
      </w:tr>
      <w:tr>
        <w:trPr>
          <w:cantSplit/>
        </w:trPr>
        <w:tc>
          <w:tcPr>
            <w:tcW w:type="dxa" w:w="1512"/>
            <w:vAlign w:val="center"/>
          </w:tcPr>
          <w:p>
            <w:pPr>
              <w:spacing w:line="245" w:lineRule="auto" w:after="0" w:before="0"/>
              <w:jc w:val="left"/>
            </w:pPr>
            <w:r>
              <w:rPr>
                <w:rFonts w:ascii="Times New Roman" w:hAnsi="Times New Roman" w:eastAsia="SimSun"/>
                <w:b w:val="0"/>
                <w:i w:val="0"/>
                <w:color w:val="000000"/>
                <w:sz w:val="19"/>
              </w:rPr>
              <w:t xml:space="preserve">RT</w:t>
            </w:r>
          </w:p>
        </w:tc>
        <w:tc>
          <w:tcPr>
            <w:tcW w:type="dxa" w:w="792"/>
            <w:vAlign w:val="center"/>
          </w:tcPr>
          <w:p>
            <w:pPr>
              <w:spacing w:line="245" w:lineRule="auto" w:after="0" w:before="0"/>
              <w:jc w:val="center"/>
            </w:pPr>
            <w:r>
              <w:rPr>
                <w:rFonts w:ascii="Times New Roman" w:hAnsi="Times New Roman" w:eastAsia="SimSun"/>
                <w:b w:val="0"/>
                <w:i w:val="0"/>
                <w:color w:val="000000"/>
                <w:sz w:val="19"/>
              </w:rPr>
              <w:t xml:space="preserve">-0.169</w:t>
            </w:r>
          </w:p>
        </w:tc>
        <w:tc>
          <w:tcPr>
            <w:tcW w:type="dxa" w:w="2376"/>
            <w:vAlign w:val="center"/>
          </w:tcPr>
          <w:p>
            <w:pPr>
              <w:spacing w:line="245" w:lineRule="auto" w:after="0" w:before="0"/>
              <w:jc w:val="center"/>
            </w:pPr>
            <w:r>
              <w:rPr>
                <w:rFonts w:ascii="Times New Roman" w:hAnsi="Times New Roman" w:eastAsia="SimSun"/>
                <w:b w:val="0"/>
                <w:i w:val="0"/>
                <w:color w:val="000000"/>
                <w:sz w:val="19"/>
              </w:rPr>
              <w:t xml:space="preserve">[-0.283, -0.054]</w:t>
            </w:r>
          </w:p>
        </w:tc>
        <w:tc>
          <w:tcPr>
            <w:tcW w:type="dxa" w:w="792"/>
            <w:vAlign w:val="center"/>
          </w:tcPr>
          <w:p>
            <w:pPr>
              <w:spacing w:line="245" w:lineRule="auto" w:after="0" w:before="0"/>
              <w:jc w:val="center"/>
            </w:pPr>
            <w:r>
              <w:rPr>
                <w:rFonts w:ascii="Times New Roman" w:hAnsi="Times New Roman" w:eastAsia="SimSun"/>
                <w:b w:val="0"/>
                <w:i w:val="0"/>
                <w:color w:val="000000"/>
                <w:sz w:val="19"/>
              </w:rPr>
              <w:t xml:space="preserve">0.766</w:t>
            </w:r>
          </w:p>
        </w:tc>
        <w:tc>
          <w:tcPr>
            <w:tcW w:type="dxa" w:w="2376"/>
            <w:vAlign w:val="center"/>
          </w:tcPr>
          <w:p>
            <w:pPr>
              <w:spacing w:line="245" w:lineRule="auto" w:after="0" w:before="0"/>
              <w:jc w:val="center"/>
            </w:pPr>
            <w:r>
              <w:rPr>
                <w:rFonts w:ascii="Times New Roman" w:hAnsi="Times New Roman" w:eastAsia="SimSun"/>
                <w:b w:val="0"/>
                <w:i w:val="0"/>
                <w:color w:val="000000"/>
                <w:sz w:val="19"/>
              </w:rPr>
              <w:t xml:space="preserve">[0.664, 0.867]</w:t>
            </w:r>
          </w:p>
        </w:tc>
        <w:tc>
          <w:tcPr>
            <w:tcW w:type="dxa" w:w="1872"/>
            <w:vAlign w:val="center"/>
          </w:tcPr>
          <w:p>
            <w:pPr>
              <w:spacing w:line="245" w:lineRule="auto" w:after="0" w:before="0"/>
              <w:jc w:val="center"/>
            </w:pPr>
            <w:r>
              <w:rPr>
                <w:rFonts w:ascii="Times New Roman" w:hAnsi="Times New Roman" w:eastAsia="SimSun"/>
                <w:b w:val="0"/>
                <w:i w:val="0"/>
                <w:color w:val="000000"/>
                <w:sz w:val="19"/>
              </w:rPr>
              <w:t xml:space="preserve">0.014 /</w:t>
              <w:br/>
              <w:t xml:space="preserve">&lt;.001</w:t>
            </w:r>
          </w:p>
        </w:tc>
      </w:tr>
      <w:tr>
        <w:trPr>
          <w:cantSplit/>
        </w:trPr>
        <w:tc>
          <w:tcPr>
            <w:tcW w:type="dxa" w:w="1512"/>
            <w:vAlign w:val="center"/>
          </w:tcPr>
          <w:p>
            <w:pPr>
              <w:spacing w:line="245" w:lineRule="auto" w:after="0" w:before="0"/>
              <w:jc w:val="left"/>
            </w:pPr>
            <w:r>
              <w:rPr>
                <w:rFonts w:ascii="Times New Roman" w:hAnsi="Times New Roman" w:eastAsia="SimSun"/>
                <w:b w:val="0"/>
                <w:i w:val="0"/>
                <w:color w:val="000000"/>
                <w:sz w:val="19"/>
              </w:rPr>
              <w:t xml:space="preserve">TC</w:t>
            </w:r>
          </w:p>
        </w:tc>
        <w:tc>
          <w:tcPr>
            <w:tcW w:type="dxa" w:w="792"/>
            <w:vAlign w:val="center"/>
          </w:tcPr>
          <w:p>
            <w:pPr>
              <w:spacing w:line="245" w:lineRule="auto" w:after="0" w:before="0"/>
              <w:jc w:val="center"/>
            </w:pPr>
            <w:r>
              <w:rPr>
                <w:rFonts w:ascii="Times New Roman" w:hAnsi="Times New Roman" w:eastAsia="SimSun"/>
                <w:b w:val="0"/>
                <w:i w:val="0"/>
                <w:color w:val="000000"/>
                <w:sz w:val="19"/>
              </w:rPr>
              <w:t xml:space="preserve">-1.514</w:t>
            </w:r>
          </w:p>
        </w:tc>
        <w:tc>
          <w:tcPr>
            <w:tcW w:type="dxa" w:w="2376"/>
            <w:vAlign w:val="center"/>
          </w:tcPr>
          <w:p>
            <w:pPr>
              <w:spacing w:line="245" w:lineRule="auto" w:after="0" w:before="0"/>
              <w:jc w:val="center"/>
            </w:pPr>
            <w:r>
              <w:rPr>
                <w:rFonts w:ascii="Times New Roman" w:hAnsi="Times New Roman" w:eastAsia="SimSun"/>
                <w:b w:val="0"/>
                <w:i w:val="0"/>
                <w:color w:val="000000"/>
                <w:sz w:val="19"/>
              </w:rPr>
              <w:t xml:space="preserve">[-2.238, -0.790]</w:t>
            </w:r>
          </w:p>
        </w:tc>
        <w:tc>
          <w:tcPr>
            <w:tcW w:type="dxa" w:w="792"/>
            <w:vAlign w:val="center"/>
          </w:tcPr>
          <w:p>
            <w:pPr>
              <w:spacing w:line="245" w:lineRule="auto" w:after="0" w:before="0"/>
              <w:jc w:val="center"/>
            </w:pPr>
            <w:r>
              <w:rPr>
                <w:rFonts w:ascii="Times New Roman" w:hAnsi="Times New Roman" w:eastAsia="SimSun"/>
                <w:b w:val="0"/>
                <w:i w:val="0"/>
                <w:color w:val="000000"/>
                <w:sz w:val="19"/>
              </w:rPr>
              <w:t xml:space="preserve">-1.343</w:t>
            </w:r>
          </w:p>
        </w:tc>
        <w:tc>
          <w:tcPr>
            <w:tcW w:type="dxa" w:w="2376"/>
            <w:vAlign w:val="center"/>
          </w:tcPr>
          <w:p>
            <w:pPr>
              <w:spacing w:line="245" w:lineRule="auto" w:after="0" w:before="0"/>
              <w:jc w:val="center"/>
            </w:pPr>
            <w:r>
              <w:rPr>
                <w:rFonts w:ascii="Times New Roman" w:hAnsi="Times New Roman" w:eastAsia="SimSun"/>
                <w:b w:val="0"/>
                <w:i w:val="0"/>
                <w:color w:val="000000"/>
                <w:sz w:val="19"/>
              </w:rPr>
              <w:t xml:space="preserve">[-1.979, -0.707]</w:t>
            </w:r>
          </w:p>
        </w:tc>
        <w:tc>
          <w:tcPr>
            <w:tcW w:type="dxa" w:w="1872"/>
            <w:vAlign w:val="center"/>
          </w:tcPr>
          <w:p>
            <w:pPr>
              <w:spacing w:line="245" w:lineRule="auto" w:after="0" w:before="0"/>
              <w:jc w:val="center"/>
            </w:pPr>
            <w:r>
              <w:rPr>
                <w:rFonts w:ascii="Times New Roman" w:hAnsi="Times New Roman" w:eastAsia="SimSun"/>
                <w:b w:val="0"/>
                <w:i w:val="0"/>
                <w:color w:val="000000"/>
                <w:sz w:val="19"/>
              </w:rPr>
              <w:t xml:space="preserve">&lt;.001 /</w:t>
              <w:br/>
              <w:t xml:space="preserve">&lt;.001</w:t>
            </w:r>
          </w:p>
        </w:tc>
      </w:tr>
      <w:tr>
        <w:trPr>
          <w:cantSplit/>
        </w:trPr>
        <w:tc>
          <w:tcPr>
            <w:tcW w:type="dxa" w:w="1512"/>
            <w:vAlign w:val="center"/>
          </w:tcPr>
          <w:p>
            <w:pPr>
              <w:spacing w:line="245" w:lineRule="auto" w:after="0" w:before="0"/>
              <w:jc w:val="left"/>
            </w:pPr>
            <w:r>
              <w:rPr>
                <w:rFonts w:ascii="Times New Roman" w:hAnsi="Times New Roman" w:eastAsia="SimSun"/>
                <w:b w:val="0"/>
                <w:i w:val="0"/>
                <w:color w:val="000000"/>
                <w:sz w:val="19"/>
              </w:rPr>
              <w:t xml:space="preserve">GC</w:t>
            </w:r>
          </w:p>
        </w:tc>
        <w:tc>
          <w:tcPr>
            <w:tcW w:type="dxa" w:w="792"/>
            <w:vAlign w:val="center"/>
          </w:tcPr>
          <w:p>
            <w:pPr>
              <w:spacing w:line="245" w:lineRule="auto" w:after="0" w:before="0"/>
              <w:jc w:val="center"/>
            </w:pPr>
            <w:r>
              <w:rPr>
                <w:rFonts w:ascii="Times New Roman" w:hAnsi="Times New Roman" w:eastAsia="SimSun"/>
                <w:b w:val="0"/>
                <w:i w:val="0"/>
                <w:color w:val="000000"/>
                <w:sz w:val="19"/>
              </w:rPr>
              <w:t xml:space="preserve">-2.384</w:t>
            </w:r>
          </w:p>
        </w:tc>
        <w:tc>
          <w:tcPr>
            <w:tcW w:type="dxa" w:w="2376"/>
            <w:vAlign w:val="center"/>
          </w:tcPr>
          <w:p>
            <w:pPr>
              <w:spacing w:line="245" w:lineRule="auto" w:after="0" w:before="0"/>
              <w:jc w:val="center"/>
            </w:pPr>
            <w:r>
              <w:rPr>
                <w:rFonts w:ascii="Times New Roman" w:hAnsi="Times New Roman" w:eastAsia="SimSun"/>
                <w:b w:val="0"/>
                <w:i w:val="0"/>
                <w:color w:val="000000"/>
                <w:sz w:val="19"/>
              </w:rPr>
              <w:t xml:space="preserve">[-3.556, -1.212]</w:t>
            </w:r>
          </w:p>
        </w:tc>
        <w:tc>
          <w:tcPr>
            <w:tcW w:type="dxa" w:w="792"/>
            <w:vAlign w:val="center"/>
          </w:tcPr>
          <w:p>
            <w:pPr>
              <w:spacing w:line="245" w:lineRule="auto" w:after="0" w:before="0"/>
              <w:jc w:val="center"/>
            </w:pPr>
            <w:r>
              <w:rPr>
                <w:rFonts w:ascii="Times New Roman" w:hAnsi="Times New Roman" w:eastAsia="SimSun"/>
                <w:b w:val="0"/>
                <w:i w:val="0"/>
                <w:color w:val="000000"/>
                <w:sz w:val="19"/>
              </w:rPr>
              <w:t xml:space="preserve">-2.695</w:t>
            </w:r>
          </w:p>
        </w:tc>
        <w:tc>
          <w:tcPr>
            <w:tcW w:type="dxa" w:w="2376"/>
            <w:vAlign w:val="center"/>
          </w:tcPr>
          <w:p>
            <w:pPr>
              <w:spacing w:line="245" w:lineRule="auto" w:after="0" w:before="0"/>
              <w:jc w:val="center"/>
            </w:pPr>
            <w:r>
              <w:rPr>
                <w:rFonts w:ascii="Times New Roman" w:hAnsi="Times New Roman" w:eastAsia="SimSun"/>
                <w:b w:val="0"/>
                <w:i w:val="0"/>
                <w:color w:val="000000"/>
                <w:sz w:val="19"/>
              </w:rPr>
              <w:t xml:space="preserve">[-3.678, -1.713]</w:t>
            </w:r>
          </w:p>
        </w:tc>
        <w:tc>
          <w:tcPr>
            <w:tcW w:type="dxa" w:w="1872"/>
            <w:vAlign w:val="center"/>
          </w:tcPr>
          <w:p>
            <w:pPr>
              <w:spacing w:line="245" w:lineRule="auto" w:after="0" w:before="0"/>
              <w:jc w:val="center"/>
            </w:pPr>
            <w:r>
              <w:rPr>
                <w:rFonts w:ascii="Times New Roman" w:hAnsi="Times New Roman" w:eastAsia="SimSun"/>
                <w:b w:val="0"/>
                <w:i w:val="0"/>
                <w:color w:val="000000"/>
                <w:sz w:val="19"/>
              </w:rPr>
              <w:t xml:space="preserve">&lt;.001 /</w:t>
              <w:br/>
              <w:t xml:space="preserve">&lt;.001</w:t>
            </w:r>
          </w:p>
        </w:tc>
      </w:tr>
      <w:tr>
        <w:trPr>
          <w:cantSplit/>
        </w:trPr>
        <w:tc>
          <w:tcPr>
            <w:tcW w:type="dxa" w:w="1512"/>
            <w:vAlign w:val="center"/>
          </w:tcPr>
          <w:p>
            <w:pPr>
              <w:spacing w:line="245" w:lineRule="auto" w:after="0" w:before="0"/>
              <w:jc w:val="left"/>
            </w:pPr>
            <w:r>
              <w:rPr>
                <w:rFonts w:ascii="Times New Roman" w:hAnsi="Times New Roman" w:eastAsia="SimSun"/>
                <w:b w:val="0"/>
                <w:i w:val="0"/>
                <w:color w:val="000000"/>
                <w:sz w:val="19"/>
              </w:rPr>
              <w:t xml:space="preserve">DGC</w:t>
            </w:r>
          </w:p>
        </w:tc>
        <w:tc>
          <w:tcPr>
            <w:tcW w:type="dxa" w:w="792"/>
            <w:vAlign w:val="center"/>
          </w:tcPr>
          <w:p>
            <w:pPr>
              <w:spacing w:line="245" w:lineRule="auto" w:after="0" w:before="0"/>
              <w:jc w:val="center"/>
            </w:pPr>
            <w:r>
              <w:rPr>
                <w:rFonts w:ascii="Times New Roman" w:hAnsi="Times New Roman" w:eastAsia="SimSun"/>
                <w:b w:val="0"/>
                <w:i w:val="0"/>
                <w:color w:val="000000"/>
                <w:sz w:val="19"/>
              </w:rPr>
              <w:t xml:space="preserve">0.117</w:t>
            </w:r>
          </w:p>
        </w:tc>
        <w:tc>
          <w:tcPr>
            <w:tcW w:type="dxa" w:w="2376"/>
            <w:vAlign w:val="center"/>
          </w:tcPr>
          <w:p>
            <w:pPr>
              <w:spacing w:line="245" w:lineRule="auto" w:after="0" w:before="0"/>
              <w:jc w:val="center"/>
            </w:pPr>
            <w:r>
              <w:rPr>
                <w:rFonts w:ascii="Times New Roman" w:hAnsi="Times New Roman" w:eastAsia="SimSun"/>
                <w:b w:val="0"/>
                <w:i w:val="0"/>
                <w:color w:val="000000"/>
                <w:sz w:val="19"/>
              </w:rPr>
              <w:t xml:space="preserve">[-1.186, 1.421]</w:t>
            </w:r>
          </w:p>
        </w:tc>
        <w:tc>
          <w:tcPr>
            <w:tcW w:type="dxa" w:w="792"/>
            <w:vAlign w:val="center"/>
          </w:tcPr>
          <w:p>
            <w:pPr>
              <w:spacing w:line="245" w:lineRule="auto" w:after="0" w:before="0"/>
              <w:jc w:val="center"/>
            </w:pPr>
            <w:r>
              <w:rPr>
                <w:rFonts w:ascii="Times New Roman" w:hAnsi="Times New Roman" w:eastAsia="SimSun"/>
                <w:b w:val="0"/>
                <w:i w:val="0"/>
                <w:color w:val="000000"/>
                <w:sz w:val="19"/>
              </w:rPr>
              <w:t xml:space="preserve">1.007</w:t>
            </w:r>
          </w:p>
        </w:tc>
        <w:tc>
          <w:tcPr>
            <w:tcW w:type="dxa" w:w="2376"/>
            <w:vAlign w:val="center"/>
          </w:tcPr>
          <w:p>
            <w:pPr>
              <w:spacing w:line="245" w:lineRule="auto" w:after="0" w:before="0"/>
              <w:jc w:val="center"/>
            </w:pPr>
            <w:r>
              <w:rPr>
                <w:rFonts w:ascii="Times New Roman" w:hAnsi="Times New Roman" w:eastAsia="SimSun"/>
                <w:b w:val="0"/>
                <w:i w:val="0"/>
                <w:color w:val="000000"/>
                <w:sz w:val="19"/>
              </w:rPr>
              <w:t xml:space="preserve">[-0.090, 2.105]</w:t>
            </w:r>
          </w:p>
        </w:tc>
        <w:tc>
          <w:tcPr>
            <w:tcW w:type="dxa" w:w="1872"/>
            <w:vAlign w:val="center"/>
          </w:tcPr>
          <w:p>
            <w:pPr>
              <w:spacing w:line="245" w:lineRule="auto" w:after="0" w:before="0"/>
              <w:jc w:val="center"/>
            </w:pPr>
            <w:r>
              <w:rPr>
                <w:rFonts w:ascii="Times New Roman" w:hAnsi="Times New Roman" w:eastAsia="SimSun"/>
                <w:b w:val="0"/>
                <w:i w:val="0"/>
                <w:color w:val="000000"/>
                <w:sz w:val="19"/>
              </w:rPr>
              <w:t xml:space="preserve">0.857 /</w:t>
              <w:br/>
              <w:t xml:space="preserve">0.142</w:t>
            </w:r>
          </w:p>
        </w:tc>
      </w:tr>
      <w:tr>
        <w:trPr>
          <w:cantSplit/>
        </w:trPr>
        <w:tc>
          <w:tcPr>
            <w:tcW w:type="dxa" w:w="1512"/>
            <w:vAlign w:val="center"/>
          </w:tcPr>
          <w:p>
            <w:pPr>
              <w:spacing w:line="245" w:lineRule="auto" w:after="0" w:before="0"/>
              <w:jc w:val="left"/>
            </w:pPr>
            <w:r>
              <w:rPr>
                <w:rFonts w:ascii="Times New Roman" w:hAnsi="Times New Roman" w:eastAsia="SimSun"/>
                <w:b w:val="0"/>
                <w:i w:val="0"/>
                <w:color w:val="000000"/>
                <w:sz w:val="19"/>
              </w:rPr>
              <w:t xml:space="preserve">RT × DGC</w:t>
            </w:r>
          </w:p>
        </w:tc>
        <w:tc>
          <w:tcPr>
            <w:tcW w:type="dxa" w:w="792"/>
            <w:vAlign w:val="center"/>
          </w:tcPr>
          <w:p>
            <w:pPr>
              <w:spacing w:line="245" w:lineRule="auto" w:after="0" w:before="0"/>
              <w:jc w:val="center"/>
            </w:pPr>
            <w:r>
              <w:rPr>
                <w:rFonts w:ascii="Times New Roman" w:hAnsi="Times New Roman" w:eastAsia="SimSun"/>
                <w:b w:val="0"/>
                <w:i w:val="0"/>
                <w:color w:val="000000"/>
                <w:sz w:val="19"/>
              </w:rPr>
              <w:t xml:space="preserve">0.223</w:t>
            </w:r>
          </w:p>
        </w:tc>
        <w:tc>
          <w:tcPr>
            <w:tcW w:type="dxa" w:w="2376"/>
            <w:vAlign w:val="center"/>
          </w:tcPr>
          <w:p>
            <w:pPr>
              <w:spacing w:line="245" w:lineRule="auto" w:after="0" w:before="0"/>
              <w:jc w:val="center"/>
            </w:pPr>
            <w:r>
              <w:rPr>
                <w:rFonts w:ascii="Times New Roman" w:hAnsi="Times New Roman" w:eastAsia="SimSun"/>
                <w:b w:val="0"/>
                <w:i w:val="0"/>
                <w:color w:val="000000"/>
                <w:sz w:val="19"/>
              </w:rPr>
              <w:t xml:space="preserve">[-0.435, 0.881]</w:t>
            </w:r>
          </w:p>
        </w:tc>
        <w:tc>
          <w:tcPr>
            <w:tcW w:type="dxa" w:w="792"/>
            <w:vAlign w:val="center"/>
          </w:tcPr>
          <w:p>
            <w:pPr>
              <w:spacing w:line="245" w:lineRule="auto" w:after="0" w:before="0"/>
              <w:jc w:val="center"/>
            </w:pPr>
            <w:r>
              <w:rPr>
                <w:rFonts w:ascii="Times New Roman" w:hAnsi="Times New Roman" w:eastAsia="SimSun"/>
                <w:b w:val="0"/>
                <w:i w:val="0"/>
                <w:color w:val="000000"/>
                <w:sz w:val="19"/>
              </w:rPr>
              <w:t xml:space="preserve">0.162</w:t>
            </w:r>
          </w:p>
        </w:tc>
        <w:tc>
          <w:tcPr>
            <w:tcW w:type="dxa" w:w="2376"/>
            <w:vAlign w:val="center"/>
          </w:tcPr>
          <w:p>
            <w:pPr>
              <w:spacing w:line="245" w:lineRule="auto" w:after="0" w:before="0"/>
              <w:jc w:val="center"/>
            </w:pPr>
            <w:r>
              <w:rPr>
                <w:rFonts w:ascii="Times New Roman" w:hAnsi="Times New Roman" w:eastAsia="SimSun"/>
                <w:b w:val="0"/>
                <w:i w:val="0"/>
                <w:color w:val="000000"/>
                <w:sz w:val="19"/>
              </w:rPr>
              <w:t xml:space="preserve">[-0.391, 0.715]</w:t>
            </w:r>
          </w:p>
        </w:tc>
        <w:tc>
          <w:tcPr>
            <w:tcW w:type="dxa" w:w="1872"/>
            <w:vAlign w:val="center"/>
          </w:tcPr>
          <w:p>
            <w:pPr>
              <w:spacing w:line="245" w:lineRule="auto" w:after="0" w:before="0"/>
              <w:jc w:val="center"/>
            </w:pPr>
            <w:r>
              <w:rPr>
                <w:rFonts w:ascii="Times New Roman" w:hAnsi="Times New Roman" w:eastAsia="SimSun"/>
                <w:b w:val="0"/>
                <w:i w:val="0"/>
                <w:color w:val="000000"/>
                <w:sz w:val="19"/>
              </w:rPr>
              <w:t xml:space="preserve">1.000 /</w:t>
              <w:br/>
              <w:t xml:space="preserve">1.000</w:t>
            </w:r>
          </w:p>
        </w:tc>
      </w:tr>
      <w:tr>
        <w:trPr>
          <w:cantSplit/>
        </w:trPr>
        <w:tc>
          <w:tcPr>
            <w:tcW w:type="dxa" w:w="1512"/>
            <w:vAlign w:val="center"/>
          </w:tcPr>
          <w:p>
            <w:pPr>
              <w:spacing w:line="245" w:lineRule="auto" w:after="0" w:before="0"/>
              <w:jc w:val="left"/>
            </w:pPr>
            <w:r>
              <w:rPr>
                <w:rFonts w:ascii="Times New Roman" w:hAnsi="Times New Roman" w:eastAsia="SimSun"/>
                <w:b w:val="0"/>
                <w:i w:val="0"/>
                <w:color w:val="000000"/>
                <w:sz w:val="19"/>
              </w:rPr>
              <w:t xml:space="preserve">TC × DGC</w:t>
            </w:r>
          </w:p>
        </w:tc>
        <w:tc>
          <w:tcPr>
            <w:tcW w:type="dxa" w:w="792"/>
            <w:vAlign w:val="center"/>
          </w:tcPr>
          <w:p>
            <w:pPr>
              <w:spacing w:line="245" w:lineRule="auto" w:after="0" w:before="0"/>
              <w:jc w:val="center"/>
            </w:pPr>
            <w:r>
              <w:rPr>
                <w:rFonts w:ascii="Times New Roman" w:hAnsi="Times New Roman" w:eastAsia="SimSun"/>
                <w:b w:val="0"/>
                <w:i w:val="0"/>
                <w:color w:val="000000"/>
                <w:sz w:val="19"/>
              </w:rPr>
              <w:t xml:space="preserve">1.880</w:t>
            </w:r>
          </w:p>
        </w:tc>
        <w:tc>
          <w:tcPr>
            <w:tcW w:type="dxa" w:w="2376"/>
            <w:vAlign w:val="center"/>
          </w:tcPr>
          <w:p>
            <w:pPr>
              <w:spacing w:line="245" w:lineRule="auto" w:after="0" w:before="0"/>
              <w:jc w:val="center"/>
            </w:pPr>
            <w:r>
              <w:rPr>
                <w:rFonts w:ascii="Times New Roman" w:hAnsi="Times New Roman" w:eastAsia="SimSun"/>
                <w:b w:val="0"/>
                <w:i w:val="0"/>
                <w:color w:val="000000"/>
                <w:sz w:val="19"/>
              </w:rPr>
              <w:t xml:space="preserve">[-2.466, 6.226]</w:t>
            </w:r>
          </w:p>
        </w:tc>
        <w:tc>
          <w:tcPr>
            <w:tcW w:type="dxa" w:w="792"/>
            <w:vAlign w:val="center"/>
          </w:tcPr>
          <w:p>
            <w:pPr>
              <w:spacing w:line="245" w:lineRule="auto" w:after="0" w:before="0"/>
              <w:jc w:val="center"/>
            </w:pPr>
            <w:r>
              <w:rPr>
                <w:rFonts w:ascii="Times New Roman" w:hAnsi="Times New Roman" w:eastAsia="SimSun"/>
                <w:b w:val="0"/>
                <w:i w:val="0"/>
                <w:color w:val="000000"/>
                <w:sz w:val="19"/>
              </w:rPr>
              <w:t xml:space="preserve">1.288</w:t>
            </w:r>
          </w:p>
        </w:tc>
        <w:tc>
          <w:tcPr>
            <w:tcW w:type="dxa" w:w="2376"/>
            <w:vAlign w:val="center"/>
          </w:tcPr>
          <w:p>
            <w:pPr>
              <w:spacing w:line="245" w:lineRule="auto" w:after="0" w:before="0"/>
              <w:jc w:val="center"/>
            </w:pPr>
            <w:r>
              <w:rPr>
                <w:rFonts w:ascii="Times New Roman" w:hAnsi="Times New Roman" w:eastAsia="SimSun"/>
                <w:b w:val="0"/>
                <w:i w:val="0"/>
                <w:color w:val="000000"/>
                <w:sz w:val="19"/>
              </w:rPr>
              <w:t xml:space="preserve">[-2.371, 4.946]</w:t>
            </w:r>
          </w:p>
        </w:tc>
        <w:tc>
          <w:tcPr>
            <w:tcW w:type="dxa" w:w="1872"/>
            <w:vAlign w:val="center"/>
          </w:tcPr>
          <w:p>
            <w:pPr>
              <w:spacing w:line="245" w:lineRule="auto" w:after="0" w:before="0"/>
              <w:jc w:val="center"/>
            </w:pPr>
            <w:r>
              <w:rPr>
                <w:rFonts w:ascii="Times New Roman" w:hAnsi="Times New Roman" w:eastAsia="SimSun"/>
                <w:b w:val="0"/>
                <w:i w:val="0"/>
                <w:color w:val="000000"/>
                <w:sz w:val="19"/>
              </w:rPr>
              <w:t xml:space="preserve">1.000 /</w:t>
              <w:br/>
              <w:t xml:space="preserve">1.000</w:t>
            </w:r>
          </w:p>
        </w:tc>
      </w:tr>
      <w:tr>
        <w:trPr>
          <w:cantSplit/>
        </w:trPr>
        <w:tc>
          <w:tcPr>
            <w:tcW w:type="dxa" w:w="1512"/>
            <w:vAlign w:val="center"/>
          </w:tcPr>
          <w:p>
            <w:pPr>
              <w:spacing w:line="245" w:lineRule="auto" w:after="0" w:before="0"/>
              <w:jc w:val="left"/>
            </w:pPr>
            <w:r>
              <w:rPr>
                <w:rFonts w:ascii="Times New Roman" w:hAnsi="Times New Roman" w:eastAsia="SimSun"/>
                <w:b w:val="0"/>
                <w:i w:val="0"/>
                <w:color w:val="000000"/>
                <w:sz w:val="19"/>
              </w:rPr>
              <w:t xml:space="preserve">GC × DGC</w:t>
            </w:r>
          </w:p>
        </w:tc>
        <w:tc>
          <w:tcPr>
            <w:tcW w:type="dxa" w:w="792"/>
            <w:vAlign w:val="center"/>
          </w:tcPr>
          <w:p>
            <w:pPr>
              <w:spacing w:line="245" w:lineRule="auto" w:after="0" w:before="0"/>
              <w:jc w:val="center"/>
            </w:pPr>
            <w:r>
              <w:rPr>
                <w:rFonts w:ascii="Times New Roman" w:hAnsi="Times New Roman" w:eastAsia="SimSun"/>
                <w:b w:val="0"/>
                <w:i w:val="0"/>
                <w:color w:val="000000"/>
                <w:sz w:val="19"/>
              </w:rPr>
              <w:t xml:space="preserve">-6.284</w:t>
            </w:r>
          </w:p>
        </w:tc>
        <w:tc>
          <w:tcPr>
            <w:tcW w:type="dxa" w:w="2376"/>
            <w:vAlign w:val="center"/>
          </w:tcPr>
          <w:p>
            <w:pPr>
              <w:spacing w:line="245" w:lineRule="auto" w:after="0" w:before="0"/>
              <w:jc w:val="center"/>
            </w:pPr>
            <w:r>
              <w:rPr>
                <w:rFonts w:ascii="Times New Roman" w:hAnsi="Times New Roman" w:eastAsia="SimSun"/>
                <w:b w:val="0"/>
                <w:i w:val="0"/>
                <w:color w:val="000000"/>
                <w:sz w:val="19"/>
              </w:rPr>
              <w:t xml:space="preserve">[-13.337, 0.768]</w:t>
            </w:r>
          </w:p>
        </w:tc>
        <w:tc>
          <w:tcPr>
            <w:tcW w:type="dxa" w:w="792"/>
            <w:vAlign w:val="center"/>
          </w:tcPr>
          <w:p>
            <w:pPr>
              <w:spacing w:line="245" w:lineRule="auto" w:after="0" w:before="0"/>
              <w:jc w:val="center"/>
            </w:pPr>
            <w:r>
              <w:rPr>
                <w:rFonts w:ascii="Times New Roman" w:hAnsi="Times New Roman" w:eastAsia="SimSun"/>
                <w:b w:val="0"/>
                <w:i w:val="0"/>
                <w:color w:val="000000"/>
                <w:sz w:val="19"/>
              </w:rPr>
              <w:t xml:space="preserve">-4.004</w:t>
            </w:r>
          </w:p>
        </w:tc>
        <w:tc>
          <w:tcPr>
            <w:tcW w:type="dxa" w:w="2376"/>
            <w:vAlign w:val="center"/>
          </w:tcPr>
          <w:p>
            <w:pPr>
              <w:spacing w:line="245" w:lineRule="auto" w:after="0" w:before="0"/>
              <w:jc w:val="center"/>
            </w:pPr>
            <w:r>
              <w:rPr>
                <w:rFonts w:ascii="Times New Roman" w:hAnsi="Times New Roman" w:eastAsia="SimSun"/>
                <w:b w:val="0"/>
                <w:i w:val="0"/>
                <w:color w:val="000000"/>
                <w:sz w:val="19"/>
              </w:rPr>
              <w:t xml:space="preserve">[-9.694, 1.686]</w:t>
            </w:r>
          </w:p>
        </w:tc>
        <w:tc>
          <w:tcPr>
            <w:tcW w:type="dxa" w:w="1872"/>
            <w:vAlign w:val="center"/>
          </w:tcPr>
          <w:p>
            <w:pPr>
              <w:spacing w:line="245" w:lineRule="auto" w:after="0" w:before="0"/>
              <w:jc w:val="center"/>
            </w:pPr>
            <w:r>
              <w:rPr>
                <w:rFonts w:ascii="Times New Roman" w:hAnsi="Times New Roman" w:eastAsia="SimSun"/>
                <w:b w:val="0"/>
                <w:i w:val="0"/>
                <w:color w:val="000000"/>
                <w:sz w:val="19"/>
              </w:rPr>
              <w:t xml:space="preserve">0.477 /</w:t>
              <w:br/>
              <w:t xml:space="preserve">0.817</w:t>
            </w:r>
          </w:p>
        </w:tc>
      </w:tr>
    </w:tbl>
    <w:p>
      <w:pPr>
        <w:pStyle w:val="15"/>
      </w:pPr>
      <w:r>
        <w:rPr>
          <w:rFonts w:ascii="Times New Roman" w:hAnsi="Times New Roman" w:eastAsia="SimSun"/>
          <w:b w:val="0"/>
          <w:i w:val="0"/>
          <w:color w:val="000000"/>
          <w:sz w:val="18"/>
        </w:rPr>
        <w:t xml:space="preserve">N=54; residual df=46. Main slopes are conditional on DGC=.20 and other centered variables; TC, GC and DGC coefficients are per 1.0-unit change. Last-column p values use joint Holm8 for the four main slopes across clocks and Holm6 for interactions. All intervals are pointwise.</w:t>
      </w:r>
    </w:p>
    <w:p>
      <w:r>
        <w:rPr>
          <w:rFonts w:ascii="Times New Roman" w:hAnsi="Times New Roman" w:eastAsia="SimSun"/>
          <w:b w:val="0"/>
          <w:i w:val="0"/>
          <w:color w:val="000000"/>
          <w:sz w:val="22"/>
        </w:rPr>
        <w:t xml:space="preserve">For the GC .75−.25 contrast, the estimated change in its effect between DGC=.4 and 0 is -1.257 steps under POST ([-2.667, 0.154]) and -0.801 under FB ([-1.939, 0.337]). Both intervals include zero. The corresponding RT and TC differences also remain uncertain. Fully categorical interaction tests provide no corrected evidence of moderation under either clock.</w:t>
      </w:r>
    </w:p>
    <w:p>
      <w:r>
        <w:br w:type="page"/>
      </w:r>
    </w:p>
    <w:p>
      <w:pPr>
        <w:pStyle w:val="3"/>
      </w:pPr>
      <w:r>
        <w:rPr/>
        <w:t xml:space="preserve">7 Timing definitions follow-up and interpretation</w:t>
      </w:r>
    </w:p>
    <w:p>
      <w:r>
        <w:rPr>
          <w:rFonts w:ascii="Times New Roman" w:hAnsi="Times New Roman" w:eastAsia="SimSun"/>
          <w:b w:val="0"/>
          <w:i w:val="0"/>
          <w:color w:val="000000"/>
          <w:sz w:val="22"/>
        </w:rPr>
        <w:t xml:space="preserve">The two clocks satisfy an exact identity for each included user: FB−POST=RT−b. Thus FB includes the interval spent believing before government publication, while POST starts at publication. Changing the starting point changes the policy quantity being measured. Among matched converters, the mean difference between clocks is 3.045 steps. Neither mean includes the 222 unresolved first episodes, so neither is an unrestricted all-believer mean.</w:t>
      </w:r>
    </w:p>
    <w:p>
      <w:pPr>
        <w:pStyle w:val="15"/>
        <w:keepNext/>
      </w:pPr>
      <w:r>
        <w:rPr>
          <w:rFonts w:ascii="Times New Roman" w:hAnsi="Times New Roman" w:eastAsia="SimSun"/>
          <w:b w:val="0"/>
          <w:i w:val="0"/>
          <w:color w:val="000000"/>
          <w:sz w:val="18"/>
        </w:rPr>
        <w:t xml:space="preserve">Table 5  Clock and inclusion sensitivity using the same numeric M3 specification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2448"/>
        <w:gridCol w:w="432"/>
        <w:gridCol w:w="3168"/>
        <w:gridCol w:w="1152"/>
        <w:gridCol w:w="1152"/>
        <w:gridCol w:w="1368"/>
      </w:tblGrid>
      <w:tr>
        <w:trPr>
          <w:tblHeader/>
          <w:cantSplit/>
        </w:trPr>
        <w:tc>
          <w:tcPr>
            <w:tcW w:type="dxa" w:w="2448"/>
            <w:vAlign w:val="center"/>
            <w:shd w:fill="E5ECF1"/>
          </w:tcPr>
          <w:p>
            <w:pPr>
              <w:keepNext/>
              <w:spacing w:line="245" w:lineRule="auto" w:after="0" w:before="0"/>
              <w:jc w:val="left"/>
            </w:pPr>
            <w:r>
              <w:rPr>
                <w:rFonts w:ascii="Times New Roman" w:hAnsi="Times New Roman" w:eastAsia="SimSun"/>
                <w:b/>
                <w:i w:val="0"/>
                <w:color w:val="000000"/>
                <w:sz w:val="19"/>
              </w:rPr>
              <w:t xml:space="preserve">Outcome</w:t>
            </w:r>
          </w:p>
        </w:tc>
        <w:tc>
          <w:tcPr>
            <w:tcW w:type="dxa" w:w="432"/>
            <w:vAlign w:val="center"/>
            <w:shd w:fill="E5ECF1"/>
          </w:tcPr>
          <w:p>
            <w:pPr>
              <w:keepNext/>
              <w:spacing w:line="245" w:lineRule="auto" w:after="0" w:before="0"/>
              <w:jc w:val="center"/>
            </w:pPr>
            <w:r>
              <w:rPr>
                <w:rFonts w:ascii="Times New Roman" w:hAnsi="Times New Roman" w:eastAsia="SimSun"/>
                <w:b/>
                <w:i w:val="0"/>
                <w:color w:val="000000"/>
                <w:sz w:val="19"/>
              </w:rPr>
              <w:t xml:space="preserve">N</w:t>
            </w:r>
          </w:p>
        </w:tc>
        <w:tc>
          <w:tcPr>
            <w:tcW w:type="dxa" w:w="3168"/>
            <w:vAlign w:val="center"/>
            <w:shd w:fill="E5ECF1"/>
          </w:tcPr>
          <w:p>
            <w:pPr>
              <w:keepNext/>
              <w:spacing w:line="245" w:lineRule="auto" w:after="0" w:before="0"/>
              <w:jc w:val="center"/>
            </w:pPr>
            <w:r>
              <w:rPr>
                <w:rFonts w:ascii="Times New Roman" w:hAnsi="Times New Roman" w:eastAsia="SimSun"/>
                <w:b/>
                <w:i w:val="0"/>
                <w:color w:val="000000"/>
                <w:sz w:val="19"/>
              </w:rPr>
              <w:t xml:space="preserve">RT b and 95% CI</w:t>
            </w:r>
          </w:p>
        </w:tc>
        <w:tc>
          <w:tcPr>
            <w:tcW w:type="dxa" w:w="1152"/>
            <w:vAlign w:val="center"/>
            <w:shd w:fill="E5ECF1"/>
          </w:tcPr>
          <w:p>
            <w:pPr>
              <w:keepNext/>
              <w:spacing w:line="245" w:lineRule="auto" w:after="0" w:before="0"/>
              <w:jc w:val="center"/>
            </w:pPr>
            <w:r>
              <w:rPr>
                <w:rFonts w:ascii="Times New Roman" w:hAnsi="Times New Roman" w:eastAsia="SimSun"/>
                <w:b/>
                <w:i w:val="0"/>
                <w:color w:val="000000"/>
                <w:sz w:val="19"/>
              </w:rPr>
              <w:t xml:space="preserve">RT</w:t>
              <w:br/>
              <w:t xml:space="preserve">Holm p</w:t>
            </w:r>
          </w:p>
        </w:tc>
        <w:tc>
          <w:tcPr>
            <w:tcW w:type="dxa" w:w="1152"/>
            <w:vAlign w:val="center"/>
            <w:shd w:fill="E5ECF1"/>
          </w:tcPr>
          <w:p>
            <w:pPr>
              <w:keepNext/>
              <w:spacing w:line="245" w:lineRule="auto" w:after="0" w:before="0"/>
              <w:jc w:val="center"/>
            </w:pPr>
            <w:r>
              <w:rPr>
                <w:rFonts w:ascii="Times New Roman" w:hAnsi="Times New Roman" w:eastAsia="SimSun"/>
                <w:b/>
                <w:i w:val="0"/>
                <w:color w:val="000000"/>
                <w:sz w:val="19"/>
              </w:rPr>
              <w:t xml:space="preserve">TC</w:t>
              <w:br/>
              <w:t xml:space="preserve">Holm p</w:t>
            </w:r>
          </w:p>
        </w:tc>
        <w:tc>
          <w:tcPr>
            <w:tcW w:type="dxa" w:w="1368"/>
            <w:vAlign w:val="center"/>
            <w:shd w:fill="E5ECF1"/>
          </w:tcPr>
          <w:p>
            <w:pPr>
              <w:keepNext/>
              <w:spacing w:line="245" w:lineRule="auto" w:after="0" w:before="0"/>
              <w:jc w:val="center"/>
            </w:pPr>
            <w:r>
              <w:rPr>
                <w:rFonts w:ascii="Times New Roman" w:hAnsi="Times New Roman" w:eastAsia="SimSun"/>
                <w:b/>
                <w:i w:val="0"/>
                <w:color w:val="000000"/>
                <w:sz w:val="19"/>
              </w:rPr>
              <w:t xml:space="preserve">GC</w:t>
              <w:br/>
              <w:t xml:space="preserve">Holm p</w:t>
            </w:r>
          </w:p>
        </w:tc>
      </w:tr>
      <w:tr>
        <w:trPr>
          <w:cantSplit/>
        </w:trPr>
        <w:tc>
          <w:tcPr>
            <w:tcW w:type="dxa" w:w="2448"/>
            <w:vAlign w:val="center"/>
          </w:tcPr>
          <w:p>
            <w:pPr>
              <w:spacing w:line="245" w:lineRule="auto" w:after="0" w:before="0"/>
              <w:jc w:val="left"/>
            </w:pPr>
            <w:r>
              <w:rPr>
                <w:rFonts w:ascii="Times New Roman" w:hAnsi="Times New Roman" w:eastAsia="SimSun"/>
                <w:b w:val="0"/>
                <w:i w:val="0"/>
                <w:color w:val="000000"/>
                <w:sz w:val="19"/>
              </w:rPr>
              <w:t xml:space="preserve">POST matched</w:t>
            </w:r>
          </w:p>
        </w:tc>
        <w:tc>
          <w:tcPr>
            <w:tcW w:type="dxa" w:w="432"/>
            <w:vAlign w:val="center"/>
          </w:tcPr>
          <w:p>
            <w:pPr>
              <w:spacing w:line="245" w:lineRule="auto" w:after="0" w:before="0"/>
              <w:jc w:val="center"/>
            </w:pPr>
            <w:r>
              <w:rPr>
                <w:rFonts w:ascii="Times New Roman" w:hAnsi="Times New Roman" w:eastAsia="SimSun"/>
                <w:b w:val="0"/>
                <w:i w:val="0"/>
                <w:color w:val="000000"/>
                <w:sz w:val="19"/>
              </w:rPr>
              <w:t xml:space="preserve">54</w:t>
            </w:r>
          </w:p>
        </w:tc>
        <w:tc>
          <w:tcPr>
            <w:tcW w:type="dxa" w:w="3168"/>
            <w:vAlign w:val="center"/>
          </w:tcPr>
          <w:p>
            <w:pPr>
              <w:spacing w:line="245" w:lineRule="auto" w:after="0" w:before="0"/>
              <w:jc w:val="center"/>
            </w:pPr>
            <w:r>
              <w:rPr>
                <w:rFonts w:ascii="Times New Roman" w:hAnsi="Times New Roman" w:eastAsia="SimSun"/>
                <w:b w:val="0"/>
                <w:i w:val="0"/>
                <w:color w:val="000000"/>
                <w:sz w:val="19"/>
              </w:rPr>
              <w:t xml:space="preserve">-0.169</w:t>
              <w:br/>
              <w:t xml:space="preserve">[-0.283, -0.054]</w:t>
            </w:r>
          </w:p>
        </w:tc>
        <w:tc>
          <w:tcPr>
            <w:tcW w:type="dxa" w:w="1152"/>
            <w:vAlign w:val="center"/>
          </w:tcPr>
          <w:p>
            <w:pPr>
              <w:spacing w:line="245" w:lineRule="auto" w:after="0" w:before="0"/>
              <w:jc w:val="center"/>
            </w:pPr>
            <w:r>
              <w:rPr>
                <w:rFonts w:ascii="Times New Roman" w:hAnsi="Times New Roman" w:eastAsia="SimSun"/>
                <w:b w:val="0"/>
                <w:i w:val="0"/>
                <w:color w:val="000000"/>
                <w:sz w:val="19"/>
              </w:rPr>
              <w:t xml:space="preserve">0.014</w:t>
            </w:r>
          </w:p>
        </w:tc>
        <w:tc>
          <w:tcPr>
            <w:tcW w:type="dxa" w:w="1152"/>
            <w:vAlign w:val="center"/>
          </w:tcPr>
          <w:p>
            <w:pPr>
              <w:spacing w:line="245" w:lineRule="auto" w:after="0" w:before="0"/>
              <w:jc w:val="center"/>
            </w:pPr>
            <w:r>
              <w:rPr>
                <w:rFonts w:ascii="Times New Roman" w:hAnsi="Times New Roman" w:eastAsia="SimSun"/>
                <w:b w:val="0"/>
                <w:i w:val="0"/>
                <w:color w:val="000000"/>
                <w:sz w:val="19"/>
              </w:rPr>
              <w:t xml:space="preserve">&lt;.001</w:t>
            </w:r>
          </w:p>
        </w:tc>
        <w:tc>
          <w:tcPr>
            <w:tcW w:type="dxa" w:w="1368"/>
            <w:vAlign w:val="center"/>
          </w:tcPr>
          <w:p>
            <w:pPr>
              <w:spacing w:line="245" w:lineRule="auto" w:after="0" w:before="0"/>
              <w:jc w:val="center"/>
            </w:pPr>
            <w:r>
              <w:rPr>
                <w:rFonts w:ascii="Times New Roman" w:hAnsi="Times New Roman" w:eastAsia="SimSun"/>
                <w:b w:val="0"/>
                <w:i w:val="0"/>
                <w:color w:val="000000"/>
                <w:sz w:val="19"/>
              </w:rPr>
              <w:t xml:space="preserve">&lt;.001</w:t>
            </w:r>
          </w:p>
        </w:tc>
      </w:tr>
      <w:tr>
        <w:trPr>
          <w:cantSplit/>
        </w:trPr>
        <w:tc>
          <w:tcPr>
            <w:tcW w:type="dxa" w:w="2448"/>
            <w:vAlign w:val="center"/>
          </w:tcPr>
          <w:p>
            <w:pPr>
              <w:spacing w:line="245" w:lineRule="auto" w:after="0" w:before="0"/>
              <w:jc w:val="left"/>
            </w:pPr>
            <w:r>
              <w:rPr>
                <w:rFonts w:ascii="Times New Roman" w:hAnsi="Times New Roman" w:eastAsia="SimSun"/>
                <w:b w:val="0"/>
                <w:i w:val="0"/>
                <w:color w:val="000000"/>
                <w:sz w:val="19"/>
              </w:rPr>
              <w:t xml:space="preserve">FB matched</w:t>
            </w:r>
          </w:p>
        </w:tc>
        <w:tc>
          <w:tcPr>
            <w:tcW w:type="dxa" w:w="432"/>
            <w:vAlign w:val="center"/>
          </w:tcPr>
          <w:p>
            <w:pPr>
              <w:spacing w:line="245" w:lineRule="auto" w:after="0" w:before="0"/>
              <w:jc w:val="center"/>
            </w:pPr>
            <w:r>
              <w:rPr>
                <w:rFonts w:ascii="Times New Roman" w:hAnsi="Times New Roman" w:eastAsia="SimSun"/>
                <w:b w:val="0"/>
                <w:i w:val="0"/>
                <w:color w:val="000000"/>
                <w:sz w:val="19"/>
              </w:rPr>
              <w:t xml:space="preserve">54</w:t>
            </w:r>
          </w:p>
        </w:tc>
        <w:tc>
          <w:tcPr>
            <w:tcW w:type="dxa" w:w="3168"/>
            <w:vAlign w:val="center"/>
          </w:tcPr>
          <w:p>
            <w:pPr>
              <w:spacing w:line="245" w:lineRule="auto" w:after="0" w:before="0"/>
              <w:jc w:val="center"/>
            </w:pPr>
            <w:r>
              <w:rPr>
                <w:rFonts w:ascii="Times New Roman" w:hAnsi="Times New Roman" w:eastAsia="SimSun"/>
                <w:b w:val="0"/>
                <w:i w:val="0"/>
                <w:color w:val="000000"/>
                <w:sz w:val="19"/>
              </w:rPr>
              <w:t xml:space="preserve">0.766</w:t>
              <w:br/>
              <w:t xml:space="preserve">[0.664, 0.867]</w:t>
            </w:r>
          </w:p>
        </w:tc>
        <w:tc>
          <w:tcPr>
            <w:tcW w:type="dxa" w:w="1152"/>
            <w:vAlign w:val="center"/>
          </w:tcPr>
          <w:p>
            <w:pPr>
              <w:spacing w:line="245" w:lineRule="auto" w:after="0" w:before="0"/>
              <w:jc w:val="center"/>
            </w:pPr>
            <w:r>
              <w:rPr>
                <w:rFonts w:ascii="Times New Roman" w:hAnsi="Times New Roman" w:eastAsia="SimSun"/>
                <w:b w:val="0"/>
                <w:i w:val="0"/>
                <w:color w:val="000000"/>
                <w:sz w:val="19"/>
              </w:rPr>
              <w:t xml:space="preserve">&lt;.001</w:t>
            </w:r>
          </w:p>
        </w:tc>
        <w:tc>
          <w:tcPr>
            <w:tcW w:type="dxa" w:w="1152"/>
            <w:vAlign w:val="center"/>
          </w:tcPr>
          <w:p>
            <w:pPr>
              <w:spacing w:line="245" w:lineRule="auto" w:after="0" w:before="0"/>
              <w:jc w:val="center"/>
            </w:pPr>
            <w:r>
              <w:rPr>
                <w:rFonts w:ascii="Times New Roman" w:hAnsi="Times New Roman" w:eastAsia="SimSun"/>
                <w:b w:val="0"/>
                <w:i w:val="0"/>
                <w:color w:val="000000"/>
                <w:sz w:val="19"/>
              </w:rPr>
              <w:t xml:space="preserve">&lt;.001</w:t>
            </w:r>
          </w:p>
        </w:tc>
        <w:tc>
          <w:tcPr>
            <w:tcW w:type="dxa" w:w="1368"/>
            <w:vAlign w:val="center"/>
          </w:tcPr>
          <w:p>
            <w:pPr>
              <w:spacing w:line="245" w:lineRule="auto" w:after="0" w:before="0"/>
              <w:jc w:val="center"/>
            </w:pPr>
            <w:r>
              <w:rPr>
                <w:rFonts w:ascii="Times New Roman" w:hAnsi="Times New Roman" w:eastAsia="SimSun"/>
                <w:b w:val="0"/>
                <w:i w:val="0"/>
                <w:color w:val="000000"/>
                <w:sz w:val="19"/>
              </w:rPr>
              <w:t xml:space="preserve">&lt;.001</w:t>
            </w:r>
          </w:p>
        </w:tc>
      </w:tr>
      <w:tr>
        <w:trPr>
          <w:cantSplit/>
        </w:trPr>
        <w:tc>
          <w:tcPr>
            <w:tcW w:type="dxa" w:w="2448"/>
            <w:vAlign w:val="center"/>
          </w:tcPr>
          <w:p>
            <w:pPr>
              <w:spacing w:line="245" w:lineRule="auto" w:after="0" w:before="0"/>
              <w:jc w:val="left"/>
            </w:pPr>
            <w:r>
              <w:rPr>
                <w:rFonts w:ascii="Times New Roman" w:hAnsi="Times New Roman" w:eastAsia="SimSun"/>
                <w:b w:val="0"/>
                <w:i w:val="0"/>
                <w:color w:val="000000"/>
                <w:sz w:val="19"/>
              </w:rPr>
              <w:t xml:space="preserve">POST strict legacy</w:t>
            </w:r>
          </w:p>
        </w:tc>
        <w:tc>
          <w:tcPr>
            <w:tcW w:type="dxa" w:w="432"/>
            <w:vAlign w:val="center"/>
          </w:tcPr>
          <w:p>
            <w:pPr>
              <w:spacing w:line="245" w:lineRule="auto" w:after="0" w:before="0"/>
              <w:jc w:val="center"/>
            </w:pPr>
            <w:r>
              <w:rPr>
                <w:rFonts w:ascii="Times New Roman" w:hAnsi="Times New Roman" w:eastAsia="SimSun"/>
                <w:b w:val="0"/>
                <w:i w:val="0"/>
                <w:color w:val="000000"/>
                <w:sz w:val="19"/>
              </w:rPr>
              <w:t xml:space="preserve">52</w:t>
            </w:r>
          </w:p>
        </w:tc>
        <w:tc>
          <w:tcPr>
            <w:tcW w:type="dxa" w:w="3168"/>
            <w:vAlign w:val="center"/>
          </w:tcPr>
          <w:p>
            <w:pPr>
              <w:spacing w:line="245" w:lineRule="auto" w:after="0" w:before="0"/>
              <w:jc w:val="center"/>
            </w:pPr>
            <w:r>
              <w:rPr>
                <w:rFonts w:ascii="Times New Roman" w:hAnsi="Times New Roman" w:eastAsia="SimSun"/>
                <w:b w:val="0"/>
                <w:i w:val="0"/>
                <w:color w:val="000000"/>
                <w:sz w:val="19"/>
              </w:rPr>
              <w:t xml:space="preserve">-0.151</w:t>
              <w:br/>
              <w:t xml:space="preserve">[-0.238, -0.064]</w:t>
            </w:r>
          </w:p>
        </w:tc>
        <w:tc>
          <w:tcPr>
            <w:tcW w:type="dxa" w:w="1152"/>
            <w:vAlign w:val="center"/>
          </w:tcPr>
          <w:p>
            <w:pPr>
              <w:spacing w:line="245" w:lineRule="auto" w:after="0" w:before="0"/>
              <w:jc w:val="center"/>
            </w:pPr>
            <w:r>
              <w:rPr>
                <w:rFonts w:ascii="Times New Roman" w:hAnsi="Times New Roman" w:eastAsia="SimSun"/>
                <w:b w:val="0"/>
                <w:i w:val="0"/>
                <w:color w:val="000000"/>
                <w:sz w:val="19"/>
              </w:rPr>
              <w:t xml:space="preserve">0.003</w:t>
            </w:r>
          </w:p>
        </w:tc>
        <w:tc>
          <w:tcPr>
            <w:tcW w:type="dxa" w:w="1152"/>
            <w:vAlign w:val="center"/>
          </w:tcPr>
          <w:p>
            <w:pPr>
              <w:spacing w:line="245" w:lineRule="auto" w:after="0" w:before="0"/>
              <w:jc w:val="center"/>
            </w:pPr>
            <w:r>
              <w:rPr>
                <w:rFonts w:ascii="Times New Roman" w:hAnsi="Times New Roman" w:eastAsia="SimSun"/>
                <w:b w:val="0"/>
                <w:i w:val="0"/>
                <w:color w:val="000000"/>
                <w:sz w:val="19"/>
              </w:rPr>
              <w:t xml:space="preserve">0.006</w:t>
            </w:r>
          </w:p>
        </w:tc>
        <w:tc>
          <w:tcPr>
            <w:tcW w:type="dxa" w:w="1368"/>
            <w:vAlign w:val="center"/>
          </w:tcPr>
          <w:p>
            <w:pPr>
              <w:spacing w:line="245" w:lineRule="auto" w:after="0" w:before="0"/>
              <w:jc w:val="center"/>
            </w:pPr>
            <w:r>
              <w:rPr>
                <w:rFonts w:ascii="Times New Roman" w:hAnsi="Times New Roman" w:eastAsia="SimSun"/>
                <w:b w:val="0"/>
                <w:i w:val="0"/>
                <w:color w:val="000000"/>
                <w:sz w:val="19"/>
              </w:rPr>
              <w:t xml:space="preserve">&lt;.001</w:t>
            </w:r>
          </w:p>
        </w:tc>
      </w:tr>
      <w:tr>
        <w:trPr>
          <w:cantSplit/>
        </w:trPr>
        <w:tc>
          <w:tcPr>
            <w:tcW w:type="dxa" w:w="2448"/>
            <w:vAlign w:val="center"/>
          </w:tcPr>
          <w:p>
            <w:pPr>
              <w:spacing w:line="245" w:lineRule="auto" w:after="0" w:before="0"/>
              <w:jc w:val="left"/>
            </w:pPr>
            <w:r>
              <w:rPr>
                <w:rFonts w:ascii="Times New Roman" w:hAnsi="Times New Roman" w:eastAsia="SimSun"/>
                <w:b w:val="0"/>
                <w:i w:val="0"/>
                <w:color w:val="000000"/>
                <w:sz w:val="19"/>
              </w:rPr>
              <w:t xml:space="preserve">FB strict legacy</w:t>
            </w:r>
          </w:p>
        </w:tc>
        <w:tc>
          <w:tcPr>
            <w:tcW w:type="dxa" w:w="432"/>
            <w:vAlign w:val="center"/>
          </w:tcPr>
          <w:p>
            <w:pPr>
              <w:spacing w:line="245" w:lineRule="auto" w:after="0" w:before="0"/>
              <w:jc w:val="center"/>
            </w:pPr>
            <w:r>
              <w:rPr>
                <w:rFonts w:ascii="Times New Roman" w:hAnsi="Times New Roman" w:eastAsia="SimSun"/>
                <w:b w:val="0"/>
                <w:i w:val="0"/>
                <w:color w:val="000000"/>
                <w:sz w:val="19"/>
              </w:rPr>
              <w:t xml:space="preserve">52</w:t>
            </w:r>
          </w:p>
        </w:tc>
        <w:tc>
          <w:tcPr>
            <w:tcW w:type="dxa" w:w="3168"/>
            <w:vAlign w:val="center"/>
          </w:tcPr>
          <w:p>
            <w:pPr>
              <w:spacing w:line="245" w:lineRule="auto" w:after="0" w:before="0"/>
              <w:jc w:val="center"/>
            </w:pPr>
            <w:r>
              <w:rPr>
                <w:rFonts w:ascii="Times New Roman" w:hAnsi="Times New Roman" w:eastAsia="SimSun"/>
                <w:b w:val="0"/>
                <w:i w:val="0"/>
                <w:color w:val="000000"/>
                <w:sz w:val="19"/>
              </w:rPr>
              <w:t xml:space="preserve">0.787</w:t>
              <w:br/>
              <w:t xml:space="preserve">[0.689, 0.886]</w:t>
            </w:r>
          </w:p>
        </w:tc>
        <w:tc>
          <w:tcPr>
            <w:tcW w:type="dxa" w:w="1152"/>
            <w:vAlign w:val="center"/>
          </w:tcPr>
          <w:p>
            <w:pPr>
              <w:spacing w:line="245" w:lineRule="auto" w:after="0" w:before="0"/>
              <w:jc w:val="center"/>
            </w:pPr>
            <w:r>
              <w:rPr>
                <w:rFonts w:ascii="Times New Roman" w:hAnsi="Times New Roman" w:eastAsia="SimSun"/>
                <w:b w:val="0"/>
                <w:i w:val="0"/>
                <w:color w:val="000000"/>
                <w:sz w:val="19"/>
              </w:rPr>
              <w:t xml:space="preserve">&lt;.001</w:t>
            </w:r>
          </w:p>
        </w:tc>
        <w:tc>
          <w:tcPr>
            <w:tcW w:type="dxa" w:w="1152"/>
            <w:vAlign w:val="center"/>
          </w:tcPr>
          <w:p>
            <w:pPr>
              <w:spacing w:line="245" w:lineRule="auto" w:after="0" w:before="0"/>
              <w:jc w:val="center"/>
            </w:pPr>
            <w:r>
              <w:rPr>
                <w:rFonts w:ascii="Times New Roman" w:hAnsi="Times New Roman" w:eastAsia="SimSun"/>
                <w:b w:val="0"/>
                <w:i w:val="0"/>
                <w:color w:val="000000"/>
                <w:sz w:val="19"/>
              </w:rPr>
              <w:t xml:space="preserve">0.038</w:t>
            </w:r>
          </w:p>
        </w:tc>
        <w:tc>
          <w:tcPr>
            <w:tcW w:type="dxa" w:w="1368"/>
            <w:vAlign w:val="center"/>
          </w:tcPr>
          <w:p>
            <w:pPr>
              <w:spacing w:line="245" w:lineRule="auto" w:after="0" w:before="0"/>
              <w:jc w:val="center"/>
            </w:pPr>
            <w:r>
              <w:rPr>
                <w:rFonts w:ascii="Times New Roman" w:hAnsi="Times New Roman" w:eastAsia="SimSun"/>
                <w:b w:val="0"/>
                <w:i w:val="0"/>
                <w:color w:val="000000"/>
                <w:sz w:val="19"/>
              </w:rPr>
              <w:t xml:space="preserve">&lt;.001</w:t>
            </w:r>
          </w:p>
        </w:tc>
      </w:tr>
      <w:tr>
        <w:trPr>
          <w:cantSplit/>
        </w:trPr>
        <w:tc>
          <w:tcPr>
            <w:tcW w:type="dxa" w:w="2448"/>
            <w:vAlign w:val="center"/>
          </w:tcPr>
          <w:p>
            <w:pPr>
              <w:spacing w:line="245" w:lineRule="auto" w:after="0" w:before="0"/>
              <w:jc w:val="left"/>
            </w:pPr>
            <w:r>
              <w:rPr>
                <w:rFonts w:ascii="Times New Roman" w:hAnsi="Times New Roman" w:eastAsia="SimSun"/>
                <w:b w:val="0"/>
                <w:i w:val="0"/>
                <w:color w:val="000000"/>
                <w:sz w:val="19"/>
              </w:rPr>
              <w:t xml:space="preserve">Initial-cohort RBD9</w:t>
            </w:r>
          </w:p>
        </w:tc>
        <w:tc>
          <w:tcPr>
            <w:tcW w:type="dxa" w:w="432"/>
            <w:vAlign w:val="center"/>
          </w:tcPr>
          <w:p>
            <w:pPr>
              <w:spacing w:line="245" w:lineRule="auto" w:after="0" w:before="0"/>
              <w:jc w:val="center"/>
            </w:pPr>
            <w:r>
              <w:rPr>
                <w:rFonts w:ascii="Times New Roman" w:hAnsi="Times New Roman" w:eastAsia="SimSun"/>
                <w:b w:val="0"/>
                <w:i w:val="0"/>
                <w:color w:val="000000"/>
                <w:sz w:val="19"/>
              </w:rPr>
              <w:t xml:space="preserve">54</w:t>
            </w:r>
          </w:p>
        </w:tc>
        <w:tc>
          <w:tcPr>
            <w:tcW w:type="dxa" w:w="3168"/>
            <w:vAlign w:val="center"/>
          </w:tcPr>
          <w:p>
            <w:pPr>
              <w:spacing w:line="245" w:lineRule="auto" w:after="0" w:before="0"/>
              <w:jc w:val="center"/>
            </w:pPr>
            <w:r>
              <w:rPr>
                <w:rFonts w:ascii="Times New Roman" w:hAnsi="Times New Roman" w:eastAsia="SimSun"/>
                <w:b w:val="0"/>
                <w:i w:val="0"/>
                <w:color w:val="000000"/>
                <w:sz w:val="19"/>
              </w:rPr>
              <w:t xml:space="preserve">0.867</w:t>
              <w:br/>
              <w:t xml:space="preserve">[0.767, 0.967]</w:t>
            </w:r>
          </w:p>
        </w:tc>
        <w:tc>
          <w:tcPr>
            <w:tcW w:type="dxa" w:w="1152"/>
            <w:vAlign w:val="center"/>
          </w:tcPr>
          <w:p>
            <w:pPr>
              <w:spacing w:line="245" w:lineRule="auto" w:after="0" w:before="0"/>
              <w:jc w:val="center"/>
            </w:pPr>
            <w:r>
              <w:rPr>
                <w:rFonts w:ascii="Times New Roman" w:hAnsi="Times New Roman" w:eastAsia="SimSun"/>
                <w:b w:val="0"/>
                <w:i w:val="0"/>
                <w:color w:val="000000"/>
                <w:sz w:val="19"/>
              </w:rPr>
              <w:t xml:space="preserve">&lt;.001</w:t>
            </w:r>
          </w:p>
        </w:tc>
        <w:tc>
          <w:tcPr>
            <w:tcW w:type="dxa" w:w="1152"/>
            <w:vAlign w:val="center"/>
          </w:tcPr>
          <w:p>
            <w:pPr>
              <w:spacing w:line="245" w:lineRule="auto" w:after="0" w:before="0"/>
              <w:jc w:val="center"/>
            </w:pPr>
            <w:r>
              <w:rPr>
                <w:rFonts w:ascii="Times New Roman" w:hAnsi="Times New Roman" w:eastAsia="SimSun"/>
                <w:b w:val="0"/>
                <w:i w:val="0"/>
                <w:color w:val="000000"/>
                <w:sz w:val="19"/>
              </w:rPr>
              <w:t xml:space="preserve">&lt;.001</w:t>
            </w:r>
          </w:p>
        </w:tc>
        <w:tc>
          <w:tcPr>
            <w:tcW w:type="dxa" w:w="1368"/>
            <w:vAlign w:val="center"/>
          </w:tcPr>
          <w:p>
            <w:pPr>
              <w:spacing w:line="245" w:lineRule="auto" w:after="0" w:before="0"/>
              <w:jc w:val="center"/>
            </w:pPr>
            <w:r>
              <w:rPr>
                <w:rFonts w:ascii="Times New Roman" w:hAnsi="Times New Roman" w:eastAsia="SimSun"/>
                <w:b w:val="0"/>
                <w:i w:val="0"/>
                <w:color w:val="000000"/>
                <w:sz w:val="19"/>
              </w:rPr>
              <w:t xml:space="preserve">&lt;.001</w:t>
            </w:r>
          </w:p>
        </w:tc>
      </w:tr>
      <w:tr>
        <w:trPr>
          <w:cantSplit/>
        </w:trPr>
        <w:tc>
          <w:tcPr>
            <w:tcW w:type="dxa" w:w="2448"/>
            <w:vAlign w:val="center"/>
          </w:tcPr>
          <w:p>
            <w:pPr>
              <w:spacing w:line="245" w:lineRule="auto" w:after="0" w:before="0"/>
              <w:jc w:val="left"/>
            </w:pPr>
            <w:r>
              <w:rPr>
                <w:rFonts w:ascii="Times New Roman" w:hAnsi="Times New Roman" w:eastAsia="SimSun"/>
                <w:b w:val="0"/>
                <w:i w:val="0"/>
                <w:color w:val="000000"/>
                <w:sz w:val="19"/>
              </w:rPr>
              <w:t xml:space="preserve">Post-release PRUD3</w:t>
            </w:r>
          </w:p>
        </w:tc>
        <w:tc>
          <w:tcPr>
            <w:tcW w:type="dxa" w:w="432"/>
            <w:vAlign w:val="center"/>
          </w:tcPr>
          <w:p>
            <w:pPr>
              <w:spacing w:line="245" w:lineRule="auto" w:after="0" w:before="0"/>
              <w:jc w:val="center"/>
            </w:pPr>
            <w:r>
              <w:rPr>
                <w:rFonts w:ascii="Times New Roman" w:hAnsi="Times New Roman" w:eastAsia="SimSun"/>
                <w:b w:val="0"/>
                <w:i w:val="0"/>
                <w:color w:val="000000"/>
                <w:sz w:val="19"/>
              </w:rPr>
              <w:t xml:space="preserve">54</w:t>
            </w:r>
          </w:p>
        </w:tc>
        <w:tc>
          <w:tcPr>
            <w:tcW w:type="dxa" w:w="3168"/>
            <w:vAlign w:val="center"/>
          </w:tcPr>
          <w:p>
            <w:pPr>
              <w:spacing w:line="245" w:lineRule="auto" w:after="0" w:before="0"/>
              <w:jc w:val="center"/>
            </w:pPr>
            <w:r>
              <w:rPr>
                <w:rFonts w:ascii="Times New Roman" w:hAnsi="Times New Roman" w:eastAsia="SimSun"/>
                <w:b w:val="0"/>
                <w:i w:val="0"/>
                <w:color w:val="000000"/>
                <w:sz w:val="19"/>
              </w:rPr>
              <w:t xml:space="preserve">0.031</w:t>
              <w:br/>
              <w:t xml:space="preserve">[-0.015, 0.077]</w:t>
            </w:r>
          </w:p>
        </w:tc>
        <w:tc>
          <w:tcPr>
            <w:tcW w:type="dxa" w:w="1152"/>
            <w:vAlign w:val="center"/>
          </w:tcPr>
          <w:p>
            <w:pPr>
              <w:spacing w:line="245" w:lineRule="auto" w:after="0" w:before="0"/>
              <w:jc w:val="center"/>
            </w:pPr>
            <w:r>
              <w:rPr>
                <w:rFonts w:ascii="Times New Roman" w:hAnsi="Times New Roman" w:eastAsia="SimSun"/>
                <w:b w:val="0"/>
                <w:i w:val="0"/>
                <w:color w:val="000000"/>
                <w:sz w:val="19"/>
              </w:rPr>
              <w:t xml:space="preserve">0.356</w:t>
            </w:r>
          </w:p>
        </w:tc>
        <w:tc>
          <w:tcPr>
            <w:tcW w:type="dxa" w:w="1152"/>
            <w:vAlign w:val="center"/>
          </w:tcPr>
          <w:p>
            <w:pPr>
              <w:spacing w:line="245" w:lineRule="auto" w:after="0" w:before="0"/>
              <w:jc w:val="center"/>
            </w:pPr>
            <w:r>
              <w:rPr>
                <w:rFonts w:ascii="Times New Roman" w:hAnsi="Times New Roman" w:eastAsia="SimSun"/>
                <w:b w:val="0"/>
                <w:i w:val="0"/>
                <w:color w:val="000000"/>
                <w:sz w:val="19"/>
              </w:rPr>
              <w:t xml:space="preserve">&lt;.001</w:t>
            </w:r>
          </w:p>
        </w:tc>
        <w:tc>
          <w:tcPr>
            <w:tcW w:type="dxa" w:w="1368"/>
            <w:vAlign w:val="center"/>
          </w:tcPr>
          <w:p>
            <w:pPr>
              <w:spacing w:line="245" w:lineRule="auto" w:after="0" w:before="0"/>
              <w:jc w:val="center"/>
            </w:pPr>
            <w:r>
              <w:rPr>
                <w:rFonts w:ascii="Times New Roman" w:hAnsi="Times New Roman" w:eastAsia="SimSun"/>
                <w:b w:val="0"/>
                <w:i w:val="0"/>
                <w:color w:val="000000"/>
                <w:sz w:val="19"/>
              </w:rPr>
              <w:t xml:space="preserve">&lt;.001</w:t>
            </w:r>
          </w:p>
        </w:tc>
      </w:tr>
    </w:tbl>
    <w:p>
      <w:pPr>
        <w:pStyle w:val="15"/>
      </w:pPr>
      <w:r>
        <w:rPr>
          <w:rFonts w:ascii="Times New Roman" w:hAnsi="Times New Roman" w:eastAsia="SimSun"/>
          <w:b w:val="0"/>
          <w:i w:val="0"/>
          <w:color w:val="000000"/>
          <w:sz w:val="18"/>
        </w:rPr>
        <w:t xml:space="preserve">Rows1–2 are the paired main endpoints; rows3–4 preserve the strict legacy inclusion rule. RBD9 uses 911 step-1 believer instances and a nine-step cap. PRUD3 uses believers immediately before release and a three-step post-release cap. Supplementary rows use within-endpoint Holm4, while the paired main rows use joint Holm8. Different cohorts are explicitly distinguished.</w:t>
      </w:r>
    </w:p>
    <w:p>
      <w:pPr>
        <w:pStyle w:val="4"/>
      </w:pPr>
      <w:r>
        <w:rPr/>
        <w:t xml:space="preserve">What a common three-step window means</w:t>
      </w:r>
    </w:p>
    <w:p>
      <w:r>
        <w:rPr>
          <w:rFonts w:ascii="Times New Roman" w:hAnsi="Times New Roman" w:eastAsia="SimSun"/>
          <w:b w:val="0"/>
          <w:i w:val="0"/>
          <w:color w:val="000000"/>
          <w:sz w:val="22"/>
        </w:rPr>
        <w:t xml:space="preserve">RT=2, 4 and 7 leave eight, six and three post-release steps before round 10. The optional common-window check observes only the first three steps after each release: rounds3–5, 5–7 and 8–10. It does not redefine either TBU. A publication-round update has zero POST waiting; an update by the third later round contributes its waiting time, and no update within that interval contributes the three-step cap.</w:t>
      </w:r>
    </w:p>
    <w:p>
      <w:pPr>
        <w:pStyle w:val="4"/>
      </w:pPr>
      <w:r>
        <w:rPr/>
        <w:t xml:space="preserve">Why the RT result changes</w:t>
      </w:r>
    </w:p>
    <w:p>
      <w:r>
        <w:rPr>
          <w:rFonts w:ascii="Times New Roman" w:hAnsi="Times New Roman" w:eastAsia="SimSun"/>
          <w:b w:val="0"/>
          <w:i w:val="0"/>
          <w:color w:val="000000"/>
          <w:sz w:val="22"/>
        </w:rPr>
        <w:t xml:space="preserve">Most observed believers first believe early. Delaying publication therefore adds time to FB before a qualifying post-release update can occur. This is a meaningful component of total belief duration, but it does not show that late corrections take longer to process after receipt. POST can instead shorten with later release because only fast, observed converters remain within the shorter follow-up horizon.</w:t>
      </w:r>
    </w:p>
    <w:p>
      <w:r>
        <w:rPr>
          <w:rFonts w:ascii="Times New Roman" w:hAnsi="Times New Roman" w:eastAsia="SimSun"/>
          <w:b w:val="0"/>
          <w:i w:val="0"/>
          <w:color w:val="000000"/>
          <w:sz w:val="22"/>
        </w:rPr>
        <w:t xml:space="preserve">The fixed initial-believer check, RBD9, retains unfinished episodes through the nine-step restriction. It avoids dropping them from the mean but concerns 47 distinct inside-user IDs across scenarios. It cannot establish outside-user effects. PRUD3 concerns a different pre-release cohort; it is a sensitivity check rather than a competing primary definition.</w:t>
      </w:r>
    </w:p>
    <w:p>
      <w:pPr>
        <w:pStyle w:val="4"/>
      </w:pPr>
      <w:r>
        <w:rPr/>
        <w:t xml:space="preserve">Endpoint choice and policy interpretation</w:t>
      </w:r>
    </w:p>
    <w:p>
      <w:r>
        <w:rPr>
          <w:rFonts w:ascii="Times New Roman" w:hAnsi="Times New Roman" w:eastAsia="SimSun"/>
          <w:b w:val="0"/>
          <w:i w:val="0"/>
          <w:color w:val="000000"/>
          <w:sz w:val="22"/>
        </w:rPr>
        <w:t xml:space="preserve">Use FB when the question is total duration from initial acceptance to the observed update; use POST when it is elapsed time after government publication among observed converters. Retain both with these labels. Government credibility and more inside-directed targeting are consistently associated with shorter intervals in this simulation. DGC moderation remains unsupported. The endpoint should follow the research question, with all analyses retained rather than selected by their smallest p value.</w:t>
      </w:r>
    </w:p>
    <w:p>
      <w:r>
        <w:br w:type="page"/>
      </w:r>
    </w:p>
    <w:p>
      <w:pPr>
        <w:pStyle w:val="3"/>
      </w:pPr>
      <w:r>
        <w:t>8 Reproducibility limitations and conclusions</w:t>
      </w:r>
    </w:p>
    <w:p>
      <w:pPr>
        <w:pStyle w:val="4"/>
      </w:pPr>
      <w:r>
        <w:t>Reproducible implementation</w:t>
      </w:r>
    </w:p>
    <w:p>
      <w:r>
        <w:rPr>
          <w:rFonts w:ascii="Times New Roman" w:hAnsi="Times New Roman" w:eastAsia="SimSun"/>
          <w:b w:val="0"/>
          <w:i w:val="0"/>
          <w:color w:val="000000"/>
          <w:sz w:val="22"/>
        </w:rPr>
        <w:t>The model uses SocioVerse2 [3] and runtime v7-government-trust-persona-20261027-2 [4]. The client requests MiniMax-M3 with temperature=1.0, top_p=.95 and max output=1,536 tokens; no generation seed is sent. Local seeds fix network (20261018), targets (20261019), behavioral ordering (20261020), government trust (20261022), SOURCE trust (20261023) and population selection (20261024). Frozen personas, prompts, trust assignments, edges, target lists, raw responses and checkpoints permit audit and replay, but re-querying the LLM may change outputs.</w:t>
      </w:r>
    </w:p>
    <w:p>
      <w:r>
        <w:rPr>
          <w:rFonts w:ascii="Times New Roman" w:hAnsi="Times New Roman" w:eastAsia="SimSun"/>
          <w:b w:val="0"/>
          <w:i w:val="0"/>
          <w:color w:val="000000"/>
          <w:sz w:val="22"/>
        </w:rPr>
        <w:t>All users observe their own fixed pre-update feed before current actions are applied. Valid response caches survive pauses. JSON, scores, visible targets/evidence and short application summaries for all 11 conditions are validated; these summaries are an output audit, not proof of internal causal reasoning. Unresolved failures pause rather than inject synthetic fallback decisions. Each complete 300-user round is checkpointed; the batch exports one workbook per parameter combination with counts by group, MBTI, age, occupation and region, plus scores, coverage, participation and actual transition events.</w:t>
      </w:r>
    </w:p>
    <w:p>
      <w:pPr>
        <w:pStyle w:val="4"/>
      </w:pPr>
      <w:r>
        <w:t>Scope and next validation steps</w:t>
      </w:r>
    </w:p>
    <w:p>
      <w:r>
        <w:rPr>
          <w:rFonts w:ascii="Times New Roman" w:hAnsi="Times New Roman" w:eastAsia="SimSun"/>
          <w:b w:val="0"/>
          <w:i w:val="0"/>
          <w:color w:val="000000"/>
          <w:sz w:val="22"/>
        </w:rPr>
        <w:t xml:space="preserve">One stochastic trajectory per cell cannot identify within-cell Monte Carlo variation. The 757 matched transitions produce 54 scenario means, not 757 independent experimental replications. HC3 inference depends on the response surface and error assumptions; shared users and networks remain dependent. Low simulated belief, synthetic personas, one scripted case and no no-response control limit external and causal interpretation. MBTI is a role-diversity convention. DGC also changes population mean SOURCE trust, so it is not a pure structural-network contrast.</w:t>
      </w:r>
    </w:p>
    <w:p>
      <w:r>
        <w:rPr>
          <w:rFonts w:ascii="Times New Roman" w:hAnsi="Times New Roman" w:eastAsia="SimSun"/>
          <w:b w:val="0"/>
          <w:i w:val="0"/>
          <w:color w:val="000000"/>
          <w:sz w:val="22"/>
        </w:rPr>
        <w:t>Priority extensions are prespecified independent replications, a no-response arm, alternative networks/cases, equal follow-up and sensitivity to wording, memory, comments and the belief threshold. The prompt explicitly embeds directional trust assumptions; finding an association in the simulation does not independently validate that mechanism among human users. LLM-generated agent decisions are part of the research method and should be disclosed in any AI-use statement.</w:t>
      </w:r>
    </w:p>
    <w:p>
      <w:pPr>
        <w:pStyle w:val="4"/>
      </w:pPr>
      <w:r>
        <w:t>Conclusion</w:t>
      </w:r>
    </w:p>
    <w:p>
      <w:r>
        <w:rPr>
          <w:rFonts w:ascii="Times New Roman" w:hAnsi="Times New Roman" w:eastAsia="SimSun"/>
          <w:b w:val="0"/>
          <w:i w:val="0"/>
          <w:color w:val="000000"/>
          <w:sz w:val="22"/>
        </w:rPr>
        <w:t xml:space="preserve">Both TBU clocks associate greater government credibility and more inside-directed targeting with shorter observed updating intervals. First-belief TBU also shows longer total duration under later publication, which includes the wait for the response itself. No corrected DGC moderation is established. Further validation should retain unresolved episodes, use independent replications and distinguish response publication, actual exposure and subsequent updating.</w:t>
      </w:r>
    </w:p>
    <w:p>
      <w:pPr>
        <w:pStyle w:val="3"/>
      </w:pPr>
      <w:r>
        <w:t>References</w:t>
      </w:r>
    </w:p>
    <w:p>
      <w:pPr>
        <w:spacing w:line="240" w:lineRule="auto" w:after="60"/>
      </w:pPr>
      <w:r>
        <w:rPr>
          <w:rFonts w:ascii="Times New Roman" w:hAnsi="Times New Roman" w:eastAsia="SimSun"/>
          <w:b w:val="0"/>
          <w:i w:val="0"/>
          <w:color w:val="000000"/>
          <w:sz w:val="18"/>
        </w:rPr>
        <w:t>[1] Del Vicario, M., et al. (2016). The spreading of misinformation online. Proceedings of the National Academy of Sciences, 113(3), 554–559. https://doi.org/10.1073/pnas.1517441113</w:t>
      </w:r>
    </w:p>
    <w:p>
      <w:pPr>
        <w:spacing w:line="240" w:lineRule="auto" w:after="60"/>
      </w:pPr>
      <w:r>
        <w:rPr>
          <w:rFonts w:ascii="Times New Roman" w:hAnsi="Times New Roman" w:eastAsia="SimSun"/>
          <w:b w:val="0"/>
          <w:i w:val="0"/>
          <w:color w:val="000000"/>
          <w:sz w:val="18"/>
        </w:rPr>
        <w:t>[2] Ecker, U. K. H., et al. (2022). The psychological drivers of misinformation belief and its resistance to correction. Nature Reviews Psychology, 1, 13–29. https://doi.org/10.1038/s44159-021-00006-y</w:t>
      </w:r>
    </w:p>
    <w:p>
      <w:pPr>
        <w:spacing w:line="240" w:lineRule="auto" w:after="60"/>
      </w:pPr>
      <w:r>
        <w:rPr>
          <w:rFonts w:ascii="Times New Roman" w:hAnsi="Times New Roman" w:eastAsia="SimSun"/>
          <w:b w:val="0"/>
          <w:i w:val="0"/>
          <w:color w:val="000000"/>
          <w:sz w:val="18"/>
        </w:rPr>
        <w:t>[3] Zhang, X., et al. (2026). SocioVerse2: A longitudinal dynamic social simulation framework under a human-AI co-evolutionary paradigm. arXiv:2609.24911. https://doi.org/10.48550/arXiv.2609.24911</w:t>
      </w:r>
    </w:p>
    <w:p>
      <w:pPr>
        <w:spacing w:line="240" w:lineRule="auto" w:after="60"/>
      </w:pPr>
      <w:r>
        <w:rPr>
          <w:rFonts w:ascii="Times New Roman" w:hAnsi="Times New Roman" w:eastAsia="SimSun"/>
          <w:b w:val="0"/>
          <w:i w:val="0"/>
          <w:color w:val="000000"/>
          <w:sz w:val="18"/>
        </w:rPr>
        <w:t>[4] SocioVerse V7 project materials (2026). Model design, parameter settings and interaction mechanisms (24 October), with belief update and government trust persona revisions (27 October). Technical documentation and source code.</w:t>
      </w:r>
    </w:p>
    <w:p>
      <w:pPr>
        <w:spacing w:line="240" w:lineRule="auto" w:after="60"/>
      </w:pPr>
      <w:r>
        <w:rPr>
          <w:rFonts w:ascii="Times New Roman" w:hAnsi="Times New Roman" w:eastAsia="SimSun"/>
          <w:b w:val="0"/>
          <w:i w:val="0"/>
          <w:color w:val="000000"/>
          <w:sz w:val="18"/>
        </w:rPr>
        <w:t>[5] Yang, G., Xu, X., &amp; Xu, P. (2026). Government rumor correction and the time of belief updating under group cocooning. SocioVerse Challenge 2026 research proposal.</w:t>
      </w:r>
    </w:p>
    <w:p>
      <w:r>
        <w:rPr>
          <w:rFonts w:ascii="Times New Roman" w:hAnsi="Times New Roman" w:eastAsia="SimSun"/>
          <w:b w:val="0"/>
          <w:i w:val="0"/>
          <w:color w:val="000000"/>
          <w:sz w:val="18"/>
        </w:rPr>
        <w:t>[6] Royston, P., &amp; Parmar, M. K. B. (2013). Restricted mean survival time: an alternative to the hazard ratio for the design and analysis of randomized trials with a time-to-event outcome. BMC Medical Research Methodology, 13, 152. https://doi.org/10.1186/1471-2288-13-152</w:t>
      </w:r>
    </w:p>
    <w:sectPr>
      <w:footerReference r:id="rId5" w:type="default"/>
      <w:pgSz w:w="11905" w:h="16838"/>
      <w:pgMar w:top="950" w:right="1037" w:bottom="893" w:left="1037" w:header="346" w:footer="34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MS Mincho">
    <w:altName w:val="ESRI AMFM Electri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29507">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4" w:lineRule="auto"/>
      </w:pPr>
      <w:r>
        <w:separator/>
      </w:r>
    </w:p>
  </w:footnote>
  <w:footnote w:type="continuationSeparator" w:id="1">
    <w:p>
      <w:pPr>
        <w:spacing w:before="0" w:after="0" w:line="25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C7D13"/>
    <w:rsid w:val="00AA1D8D"/>
    <w:rsid w:val="00B47730"/>
    <w:rsid w:val="00CB0664"/>
    <w:rsid w:val="00FC693F"/>
    <w:rsid w:val="46C045C0"/>
    <w:rsid w:val="4C821E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00" w:line="254" w:lineRule="auto" w:before="0"/>
    </w:pPr>
    <w:rPr>
      <w:rFonts w:ascii="Times New Roman" w:hAnsi="Times New Roman" w:eastAsiaTheme="minorEastAsia" w:cstheme="minorBidi"/>
      <w:color w:val="000000"/>
      <w:sz w:val="22"/>
      <w:szCs w:val="22"/>
      <w:lang w:val="en-US" w:eastAsia="en-US" w:bidi="ar-SA"/>
    </w:rPr>
  </w:style>
  <w:style w:type="paragraph" w:styleId="3">
    <w:name w:val="heading 1"/>
    <w:basedOn w:val="1"/>
    <w:next w:val="1"/>
    <w:link w:val="139"/>
    <w:qFormat/>
    <w:uiPriority w:val="9"/>
    <w:pPr>
      <w:keepNext/>
      <w:keepLines/>
      <w:spacing w:before="160" w:after="100"/>
      <w:outlineLvl w:val="0"/>
    </w:pPr>
    <w:rPr>
      <w:rFonts w:ascii="Times New Roman" w:hAnsi="Times New Roman" w:cstheme="majorBidi"/>
      <w:b/>
      <w:bCs/>
      <w:i w:val="0"/>
      <w:color w:val="000000"/>
      <w:sz w:val="26"/>
      <w:szCs w:val="28"/>
    </w:rPr>
  </w:style>
  <w:style w:type="paragraph" w:styleId="4">
    <w:name w:val="heading 2"/>
    <w:basedOn w:val="1"/>
    <w:next w:val="1"/>
    <w:link w:val="140"/>
    <w:unhideWhenUsed/>
    <w:qFormat/>
    <w:uiPriority w:val="9"/>
    <w:pPr>
      <w:keepNext/>
      <w:keepLines/>
      <w:spacing w:before="160" w:after="100"/>
      <w:outlineLvl w:val="1"/>
    </w:pPr>
    <w:rPr>
      <w:rFonts w:ascii="Times New Roman" w:hAnsi="Times New Roman" w:cstheme="majorBidi"/>
      <w:b/>
      <w:bCs/>
      <w:i w:val="0"/>
      <w:color w:val="000000"/>
      <w:sz w:val="23"/>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after="100" w:line="240" w:lineRule="auto" w:before="60"/>
    </w:pPr>
    <w:rPr>
      <w:rFonts w:ascii="Times New Roman" w:hAnsi="Times New Roman"/>
      <w:b/>
      <w:bCs/>
      <w:color w:val="000000"/>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100" w:line="240" w:lineRule="auto"/>
    </w:pPr>
    <w:rPr>
      <w:rFonts w:ascii="Times New Roman" w:hAnsi="Times New Roman"/>
      <w:color w:val="000000"/>
      <w:sz w:val="18"/>
    </w:r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pPr>
      <w:spacing w:before="0" w:after="100"/>
    </w:pPr>
    <w:rPr>
      <w:rFonts w:ascii="Times New Roman" w:hAnsi="Times New Roman" w:cstheme="majorBidi"/>
      <w:i/>
      <w:iCs/>
      <w:color w:val="000000"/>
      <w:spacing w:val="15"/>
      <w:sz w:val="22"/>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spacing w:before="0" w:after="100" w:line="240" w:lineRule="auto"/>
      <w:contextualSpacing/>
    </w:pPr>
    <w:rPr>
      <w:rFonts w:ascii="Arial" w:hAnsi="Arial" w:cstheme="majorBidi"/>
      <w:b/>
      <w:color w:val="000000"/>
      <w:spacing w:val="5"/>
      <w:kern w:val="28"/>
      <w:sz w:val="38"/>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386</Words>
  <Characters>2382</Characters>
  <Lines>0</Lines>
  <Paragraphs>0</Paragraphs>
  <TotalTime>407</TotalTime>
  <ScaleCrop>false</ScaleCrop>
  <LinksUpToDate>false</LinksUpToDate>
  <CharactersWithSpaces>2760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Guang Yang; Xiangyu Xu; Pengyuan Xu</dc:creator>
  <dc:description>Updated 30 October 2026; eight-page research report; original retained in timestamped backup.</dc:description>
  <cp:keywords>government rumor correction; belief updating; source trust; group cocooning; LLM agents; SocioVerse</cp:keywords>
  <cp:lastModifiedBy>leeswimmer</cp:lastModifiedBy>
  <dcterms:modified xsi:type="dcterms:W3CDTF">2026-10-29T17:48:43Z</dcterms:modified>
  <dc:subject>Updated model and complete V7 factorial results with TBU measurement sensitivity</dc:subject>
  <dc:title>Government Rumor Correction and Belief Updating under Group Cocooning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eyJoZGlkIjoiZWRhNzk1NDVlZmQ0MDJmYzM0Y2IxMjM2MGRlNGVmYjIiLCJ1c2VySWQiOiIyNjA1Nzg1NiJ9</vt:lpwstr>
  </property>
  <property fmtid="{D5CDD505-2E9C-101B-9397-08002B2CF9AE}" pid="3" name="KSOProductBuildVer">
    <vt:lpwstr>2052-12.1.0.29161</vt:lpwstr>
  </property>
  <property fmtid="{D5CDD505-2E9C-101B-9397-08002B2CF9AE}" pid="4" name="ICV">
    <vt:lpwstr>E468310CAF204BF1B2259C907A0C2A43_13</vt:lpwstr>
  </property>
</Properties>
</file>