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95AC7">
      <w:pPr>
        <w:pStyle w:val="32"/>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t>Government Rumor Correction and Belief Updating under Group Cocooning</w:t>
      </w:r>
    </w:p>
    <w:p w14:paraId="4EC56658">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0"/>
        </w:rPr>
      </w:pPr>
      <w:r>
        <w:rPr>
          <w:rFonts w:hint="default" w:ascii="Times New Roman" w:hAnsi="Times New Roman" w:cs="Times New Roman"/>
          <w:sz w:val="20"/>
        </w:rPr>
        <w:t>Guang Yang¹   Xiangyu Xu²   Pengyuan Xu²</w:t>
      </w:r>
    </w:p>
    <w:p w14:paraId="1EEB190B">
      <w:pPr>
        <w:pageBreakBefore w:val="0"/>
        <w:widowControl/>
        <w:kinsoku/>
        <w:wordWrap/>
        <w:overflowPunct/>
        <w:topLinePunct w:val="0"/>
        <w:autoSpaceDE/>
        <w:autoSpaceDN/>
        <w:bidi w:val="0"/>
        <w:adjustRightInd/>
        <w:snapToGrid/>
        <w:jc w:val="both"/>
        <w:textAlignment w:val="auto"/>
        <w:rPr>
          <w:rFonts w:hint="default" w:ascii="Times New Roman" w:hAnsi="Times New Roman" w:eastAsia="宋体" w:cs="Times New Roman"/>
          <w:sz w:val="20"/>
          <w:lang w:val="en-US" w:eastAsia="zh-CN"/>
        </w:rPr>
      </w:pPr>
      <w:r>
        <w:rPr>
          <w:rFonts w:hint="eastAsia" w:eastAsia="宋体" w:cs="Times New Roman"/>
          <w:sz w:val="20"/>
          <w:lang w:val="en-US" w:eastAsia="zh-CN"/>
        </w:rPr>
        <w:t>Tutor: Moyan Li  Xu Zhang</w:t>
      </w:r>
    </w:p>
    <w:p w14:paraId="7C67F38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sz w:val="18"/>
        </w:rPr>
        <w:t>¹ China University of Mining and Technology</w:t>
      </w:r>
      <w:r>
        <w:rPr>
          <w:rFonts w:hint="default" w:ascii="Times New Roman" w:hAnsi="Times New Roman" w:cs="Times New Roman"/>
          <w:sz w:val="18"/>
        </w:rPr>
        <w:br w:type="textWrapping"/>
      </w:r>
      <w:r>
        <w:rPr>
          <w:rFonts w:hint="default" w:ascii="Times New Roman" w:hAnsi="Times New Roman" w:cs="Times New Roman"/>
          <w:sz w:val="18"/>
        </w:rPr>
        <w:t>² Hong Kong University of Science and Technology (Guangzhou)</w:t>
      </w:r>
    </w:p>
    <w:p w14:paraId="2CC67303">
      <w:pPr>
        <w:pStyle w:val="3"/>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6"/>
        </w:rPr>
        <w:t>Abstract</w:t>
      </w:r>
    </w:p>
    <w:p w14:paraId="45962805">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Government corrections compete with familiar rumor sources within uneven information networks. We examine response timing (RT), targeting capacity (TC), government credibility (GC) and moderation by degree of group cocooning (DGC) using 54 completed SocioVerse V7 scenarios, each containing 300 heterogeneous LLM users and ten synchronous rounds. Time of belief updating (TBU) starts at a user’s first observed belief and ends at the first observed belief-to-rejection transition in or after the government publication round. The 757 qualifying transitions yield 54 scenario means, averaging 4.557 steps. HC3-robust level tests with retained Holm correction identify RT, TC and GC differences (all adjusted p&lt;.001), while DGC is not significant (p=.272). Relative to RT=2, RT=7 corresponds to 3.838 additional steps; increasing GC from .25 to .75 and TC from .20 to .80 corresponds to reductions of 1.348 and .806 steps. None of the three DGC interactions is supported. TBU includes time awaiting official publication and describes observed converters; 222 unresolved first episodes remain right-censored. Single trajectories per setting, synthetic profiles and the absence of a no-response control limit causal and population-level interpretation.</w:t>
      </w:r>
    </w:p>
    <w:p w14:paraId="4BE8BDC7">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19"/>
        </w:rPr>
        <w:t>Keywords  Government rumor correction; time of belief updating; group cocooning; government credibility; LLM agents</w:t>
      </w:r>
    </w:p>
    <w:p w14:paraId="1991E617">
      <w:pPr>
        <w:pStyle w:val="5"/>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cs="Times New Roman" w:eastAsiaTheme="minorEastAsia"/>
          <w:b/>
          <w:bCs/>
          <w:color w:val="000000"/>
          <w:sz w:val="26"/>
          <w:szCs w:val="28"/>
          <w:lang w:val="en-US" w:eastAsia="en-US" w:bidi="ar-SA"/>
        </w:rPr>
      </w:pPr>
      <w:r>
        <w:rPr>
          <w:rFonts w:hint="default" w:ascii="Times New Roman" w:hAnsi="Times New Roman" w:cs="Times New Roman" w:eastAsiaTheme="minorEastAsia"/>
          <w:b/>
          <w:bCs/>
          <w:color w:val="000000"/>
          <w:sz w:val="26"/>
          <w:szCs w:val="28"/>
          <w:lang w:val="en-US" w:eastAsia="en-US" w:bidi="ar-SA"/>
        </w:rPr>
        <w:t>1 Research Background</w:t>
      </w:r>
    </w:p>
    <w:p w14:paraId="7DB705E9">
      <w:pPr>
        <w:pStyle w:val="30"/>
        <w:keepNext w:val="0"/>
        <w:keepLines w:val="0"/>
        <w:pageBreakBefore w:val="0"/>
        <w:widowControl/>
        <w:suppressLineNumbers w:val="0"/>
        <w:kinsoku/>
        <w:wordWrap/>
        <w:overflowPunct/>
        <w:topLinePunct w:val="0"/>
        <w:autoSpaceDE/>
        <w:autoSpaceDN/>
        <w:bidi w:val="0"/>
        <w:adjustRightInd/>
        <w:snapToGrid/>
        <w:jc w:val="both"/>
        <w:textAlignment w:val="auto"/>
      </w:pPr>
      <w:r>
        <w:t>On Weibo, rumors posted by influential bloggers can spread through follower networks, reposts, and platform recommendations. Government corrections subsequently compete with rumor-related information for users' attention and trust. However, users within and outside rumor cocoons may differ in their exposure to and acceptance of corrective information. These differences raise important questions about how quickly users update their beliefs following government corrections and under what conditions such corrections become more effective. Understanding these dynamics can help identify effective correction strategies and priority audiences.</w:t>
      </w:r>
    </w:p>
    <w:p w14:paraId="6C6D68D3">
      <w:pPr>
        <w:pStyle w:val="5"/>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cs="Times New Roman" w:eastAsiaTheme="minorEastAsia"/>
          <w:b/>
          <w:bCs/>
          <w:color w:val="000000"/>
          <w:sz w:val="26"/>
          <w:szCs w:val="28"/>
          <w:lang w:val="en-US" w:eastAsia="en-US" w:bidi="ar-SA"/>
        </w:rPr>
      </w:pPr>
      <w:r>
        <w:rPr>
          <w:rFonts w:hint="default" w:ascii="Times New Roman" w:hAnsi="Times New Roman" w:cs="Times New Roman" w:eastAsiaTheme="minorEastAsia"/>
          <w:b/>
          <w:bCs/>
          <w:color w:val="000000"/>
          <w:sz w:val="26"/>
          <w:szCs w:val="28"/>
          <w:lang w:val="en-US" w:eastAsia="en-US" w:bidi="ar-SA"/>
        </w:rPr>
        <w:t>2 Research Objectives</w:t>
      </w:r>
    </w:p>
    <w:p w14:paraId="33435B25">
      <w:pPr>
        <w:pStyle w:val="30"/>
        <w:keepNext w:val="0"/>
        <w:keepLines w:val="0"/>
        <w:pageBreakBefore w:val="0"/>
        <w:widowControl/>
        <w:suppressLineNumbers w:val="0"/>
        <w:kinsoku/>
        <w:wordWrap/>
        <w:overflowPunct/>
        <w:topLinePunct w:val="0"/>
        <w:autoSpaceDE/>
        <w:autoSpaceDN/>
        <w:bidi w:val="0"/>
        <w:adjustRightInd/>
        <w:snapToGrid/>
        <w:jc w:val="both"/>
        <w:textAlignment w:val="auto"/>
      </w:pPr>
      <w:r>
        <w:t xml:space="preserve">This study aims to identify the key factors and mechanisms influencing government rumor-correction effectiveness, measured by the </w:t>
      </w:r>
      <w:r>
        <w:rPr>
          <w:rStyle w:val="134"/>
        </w:rPr>
        <w:t>time of belief updating (TBU)</w:t>
      </w:r>
      <w:r>
        <w:t xml:space="preserve">. Specifically, we examine how </w:t>
      </w:r>
      <w:r>
        <w:rPr>
          <w:rStyle w:val="134"/>
        </w:rPr>
        <w:t>response timing, targeting capacity, and government credibility</w:t>
      </w:r>
      <w:r>
        <w:t xml:space="preserve"> affect TBU, and whether the </w:t>
      </w:r>
      <w:r>
        <w:rPr>
          <w:rStyle w:val="134"/>
        </w:rPr>
        <w:t>degree of group cocooning</w:t>
      </w:r>
      <w:r>
        <w:t xml:space="preserve"> moderates these effects. Through controlled counterfactual simulations, we compare alternative correction strategies to assess their effectiveness across different conditions and user groups, directly addressing Track B: Counterfactual Intervention and Impact Assessment.</w:t>
      </w:r>
    </w:p>
    <w:p w14:paraId="7ADBF757">
      <w:pPr>
        <w:pStyle w:val="3"/>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6"/>
        </w:rPr>
        <w:t>2 Model setting and experimental design</w:t>
      </w:r>
    </w:p>
    <w:p w14:paraId="29BA9434">
      <w:pPr>
        <w:keepNext/>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eastAsiaTheme="minorEastAsia"/>
          <w:b/>
          <w:bCs/>
          <w:color w:val="000000"/>
          <w:sz w:val="23"/>
          <w:szCs w:val="26"/>
          <w:lang w:val="en-US" w:eastAsia="en-US" w:bidi="ar-SA"/>
        </w:rPr>
      </w:pPr>
      <w:r>
        <w:rPr>
          <w:rFonts w:hint="default" w:ascii="Times New Roman" w:hAnsi="Times New Roman" w:cs="Times New Roman" w:eastAsiaTheme="minorEastAsia"/>
          <w:b/>
          <w:bCs/>
          <w:color w:val="000000"/>
          <w:sz w:val="23"/>
          <w:szCs w:val="26"/>
          <w:lang w:val="en-US" w:eastAsia="en-US" w:bidi="ar-SA"/>
        </w:rPr>
        <w:t>Actors and Information Access</w:t>
      </w:r>
    </w:p>
    <w:p w14:paraId="56779EE8">
      <w:pPr>
        <w:keepNext/>
        <w:pageBreakBefore w:val="0"/>
        <w:widowControl/>
        <w:kinsoku/>
        <w:wordWrap/>
        <w:overflowPunct/>
        <w:topLinePunct w:val="0"/>
        <w:autoSpaceDE/>
        <w:autoSpaceDN/>
        <w:bidi w:val="0"/>
        <w:adjustRightInd/>
        <w:snapToGrid/>
        <w:spacing w:after="0"/>
        <w:jc w:val="both"/>
        <w:textAlignment w:val="auto"/>
        <w:rPr/>
      </w:pPr>
      <w:r>
        <w:t>The simulation involves four types of actors: a rumor blogger, users inside the rumor cocoon, users outside the cocoon, and a government account.</w:t>
      </w:r>
    </w:p>
    <w:p w14:paraId="52B83504">
      <w:pPr>
        <w:keepNext/>
        <w:pageBreakBefore w:val="0"/>
        <w:widowControl/>
        <w:kinsoku/>
        <w:wordWrap/>
        <w:overflowPunct/>
        <w:topLinePunct w:val="0"/>
        <w:autoSpaceDE/>
        <w:autoSpaceDN/>
        <w:bidi w:val="0"/>
        <w:adjustRightInd/>
        <w:snapToGrid/>
        <w:spacing w:after="0"/>
        <w:jc w:val="both"/>
        <w:textAlignment w:val="auto"/>
        <w:rPr/>
      </w:pPr>
      <w:r>
        <w:t xml:space="preserve">(1) </w:t>
      </w:r>
      <w:r>
        <w:rPr>
          <w:b/>
          <w:bCs/>
        </w:rPr>
        <w:t xml:space="preserve">Rumor blogger </w:t>
      </w:r>
      <w:r>
        <w:rPr>
          <w:b w:val="0"/>
          <w:bCs w:val="0"/>
        </w:rPr>
        <w:t>(SOURCE)</w:t>
      </w:r>
      <w:r>
        <w:t>. An influential blogger publishes a government-related rumor, serving as the original source of misinformation. The rumor content remains identical across experimental conditions.</w:t>
      </w:r>
    </w:p>
    <w:p w14:paraId="17C2A7C5">
      <w:pPr>
        <w:keepNext/>
        <w:pageBreakBefore w:val="0"/>
        <w:widowControl/>
        <w:kinsoku/>
        <w:wordWrap/>
        <w:overflowPunct/>
        <w:topLinePunct w:val="0"/>
        <w:autoSpaceDE/>
        <w:autoSpaceDN/>
        <w:bidi w:val="0"/>
        <w:adjustRightInd/>
        <w:snapToGrid/>
        <w:spacing w:after="0"/>
        <w:jc w:val="both"/>
        <w:textAlignment w:val="auto"/>
        <w:rPr/>
      </w:pPr>
      <w:r>
        <w:t>(2)</w:t>
      </w:r>
      <w:r>
        <w:rPr>
          <w:b/>
          <w:bCs/>
        </w:rPr>
        <w:t xml:space="preserve"> Inside-</w:t>
      </w:r>
      <w:r>
        <w:rPr>
          <w:rFonts w:hint="eastAsia" w:eastAsia="宋体"/>
          <w:b/>
          <w:bCs/>
          <w:lang w:val="en-US" w:eastAsia="zh-CN"/>
        </w:rPr>
        <w:t>cocoon</w:t>
      </w:r>
      <w:r>
        <w:rPr>
          <w:b/>
          <w:bCs/>
        </w:rPr>
        <w:t xml:space="preserve"> users</w:t>
      </w:r>
      <w:r>
        <w:t xml:space="preserve"> (n = 48). These users follow the rumor blogger and directly receive the rumor in the first simulation round. Their interactions and reposts facilitate rumor circulation within the cocoon. Their belief responses depend on individual characteristics, source trust, and information exposure.</w:t>
      </w:r>
    </w:p>
    <w:p w14:paraId="46D04BEA">
      <w:pPr>
        <w:keepNext/>
        <w:pageBreakBefore w:val="0"/>
        <w:widowControl/>
        <w:kinsoku/>
        <w:wordWrap/>
        <w:overflowPunct/>
        <w:topLinePunct w:val="0"/>
        <w:autoSpaceDE/>
        <w:autoSpaceDN/>
        <w:bidi w:val="0"/>
        <w:adjustRightInd/>
        <w:snapToGrid/>
        <w:spacing w:after="0"/>
        <w:jc w:val="both"/>
        <w:textAlignment w:val="auto"/>
        <w:rPr/>
      </w:pPr>
      <w:r>
        <w:t xml:space="preserve">(3) </w:t>
      </w:r>
      <w:r>
        <w:rPr>
          <w:b/>
          <w:bCs/>
        </w:rPr>
        <w:t>Outside-</w:t>
      </w:r>
      <w:r>
        <w:rPr>
          <w:rFonts w:hint="eastAsia" w:eastAsia="宋体"/>
          <w:b/>
          <w:bCs/>
          <w:lang w:val="en-US" w:eastAsia="zh-CN"/>
        </w:rPr>
        <w:t>cocoon</w:t>
      </w:r>
      <w:r>
        <w:rPr>
          <w:b/>
          <w:bCs/>
        </w:rPr>
        <w:t xml:space="preserve"> users</w:t>
      </w:r>
      <w:r>
        <w:t xml:space="preserve"> (n = 252). These users do not follow the rumor blogger and have no initial access to the original post. They may subsequently encounter the rumor through reposts from connected users, including those inside the cocoon.</w:t>
      </w:r>
    </w:p>
    <w:p w14:paraId="40ED05CA">
      <w:pPr>
        <w:keepNext/>
        <w:pageBreakBefore w:val="0"/>
        <w:widowControl/>
        <w:kinsoku/>
        <w:wordWrap/>
        <w:overflowPunct/>
        <w:topLinePunct w:val="0"/>
        <w:autoSpaceDE/>
        <w:autoSpaceDN/>
        <w:bidi w:val="0"/>
        <w:adjustRightInd/>
        <w:snapToGrid/>
        <w:spacing w:after="0"/>
        <w:jc w:val="both"/>
        <w:textAlignment w:val="auto"/>
        <w:rPr/>
      </w:pPr>
      <w:r>
        <w:t xml:space="preserve">(4) </w:t>
      </w:r>
      <w:r>
        <w:rPr>
          <w:b/>
          <w:bCs/>
        </w:rPr>
        <w:t>Government account</w:t>
      </w:r>
      <w:r>
        <w:t xml:space="preserve"> (GOVERNMENT). The government publishes an official correction at a designated intervention round and directly delivers it to 50 users. The allocation between inside- and outside-group users varies across intervention settings. The correction may spread further through reposts, while its acceptance depends partly on users' prior government trust.</w:t>
      </w:r>
    </w:p>
    <w:p w14:paraId="0E8B93FC">
      <w:pPr>
        <w:keepNext/>
        <w:pageBreakBefore w:val="0"/>
        <w:widowControl/>
        <w:kinsoku/>
        <w:wordWrap/>
        <w:overflowPunct/>
        <w:topLinePunct w:val="0"/>
        <w:autoSpaceDE/>
        <w:autoSpaceDN/>
        <w:bidi w:val="0"/>
        <w:adjustRightInd/>
        <w:snapToGrid/>
        <w:spacing w:after="0"/>
        <w:jc w:val="both"/>
        <w:textAlignment w:val="auto"/>
      </w:pPr>
      <w:r>
        <w:t>Social network and information diffusion. The 300 users are simulated as LLM-Agents, while SOURCE and GOVERNMENT serve as publishing accounts. Each user follows 8 users within the same group and 2 from the other group, forming 3,000 directed connections. Reposts reach followers in the next round, and comments require access to the original post. LLM-Agents dynamically update their beliefs and decide whether to comment or repost based on the information they encounter.</w:t>
      </w:r>
      <w:bookmarkStart w:id="0" w:name="_GoBack"/>
      <w:bookmarkEnd w:id="0"/>
    </w:p>
    <w:p w14:paraId="3AF8313A">
      <w:pPr>
        <w:pStyle w:val="4"/>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t>Heterogeneity and the empirical foundation</w:t>
      </w:r>
    </w:p>
    <w:p w14:paraId="0D1352F5">
      <w:pPr>
        <w:pageBreakBefore w:val="0"/>
        <w:widowControl/>
        <w:kinsoku/>
        <w:wordWrap/>
        <w:overflowPunct/>
        <w:topLinePunct w:val="0"/>
        <w:autoSpaceDE/>
        <w:autoSpaceDN/>
        <w:bidi w:val="0"/>
        <w:adjustRightInd/>
        <w:snapToGrid/>
        <w:jc w:val="both"/>
        <w:textAlignment w:val="auto"/>
        <w:rPr>
          <w:rFonts w:hint="eastAsia"/>
          <w:lang w:eastAsia="zh-CN"/>
        </w:rPr>
      </w:pPr>
      <w:r>
        <w:rPr>
          <w:rFonts w:hint="default" w:ascii="Times New Roman" w:hAnsi="Times New Roman" w:cs="Times New Roman"/>
        </w:rPr>
        <w:t xml:space="preserve">Personas differ in synthetic age, region, occupation, community project experience, MBTI style, sharing propensity, verification preference and repetition sensitivity. Ages range from 18 to 74; all 16 MBTI types are represented. These attributes guide responses without fixing belief probabilities or comment rates. The proposal identifies 125 public rumor events, 21,833 comments, 22,359 reposts, 873 rumor posts in seven categories and 265 questionnaire responses as the wider empirical resource base [5]. </w:t>
      </w:r>
      <w:r>
        <w:rPr>
          <w:rFonts w:hint="eastAsia" w:eastAsia="宋体" w:cs="Times New Roman"/>
          <w:lang w:val="en-US" w:eastAsia="zh-CN"/>
        </w:rPr>
        <w:t>Model</w:t>
      </w:r>
      <w:r>
        <w:rPr>
          <w:rFonts w:hint="default" w:ascii="Times New Roman" w:hAnsi="Times New Roman" w:cs="Times New Roman"/>
        </w:rPr>
        <w:t xml:space="preserve"> uses a scripted case and synthetic persona assignments; these resources do not establish that its behavioral parameters are empirically calibrated.</w:t>
      </w:r>
    </w:p>
    <w:p w14:paraId="07021A7F">
      <w:pPr>
        <w:keepNext/>
        <w:pageBreakBefore w:val="0"/>
        <w:widowControl/>
        <w:kinsoku/>
        <w:wordWrap/>
        <w:overflowPunct/>
        <w:topLinePunct w:val="0"/>
        <w:autoSpaceDE/>
        <w:autoSpaceDN/>
        <w:bidi w:val="0"/>
        <w:adjustRightInd/>
        <w:snapToGrid/>
        <w:spacing w:after="0"/>
        <w:jc w:val="both"/>
        <w:textAlignment w:val="auto"/>
      </w:pPr>
      <w:r>
        <w:drawing>
          <wp:inline distT="0" distB="0" distL="114300" distR="114300">
            <wp:extent cx="6197600" cy="3681095"/>
            <wp:effectExtent l="0" t="0" r="1270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97600" cy="3681095"/>
                    </a:xfrm>
                    <a:prstGeom prst="rect">
                      <a:avLst/>
                    </a:prstGeom>
                  </pic:spPr>
                </pic:pic>
              </a:graphicData>
            </a:graphic>
          </wp:inline>
        </w:drawing>
      </w:r>
    </w:p>
    <w:p w14:paraId="399C93B0">
      <w:pPr>
        <w:pStyle w:val="15"/>
        <w:keepNext w:val="0"/>
        <w:keepLines w:val="0"/>
        <w:pageBreakBefore w:val="0"/>
        <w:widowControl/>
        <w:kinsoku/>
        <w:wordWrap/>
        <w:overflowPunct/>
        <w:topLinePunct w:val="0"/>
        <w:autoSpaceDE/>
        <w:autoSpaceDN/>
        <w:bidi w:val="0"/>
        <w:adjustRightInd/>
        <w:snapToGrid/>
        <w:spacing w:before="0" w:after="100" w:line="240" w:lineRule="auto"/>
        <w:ind w:right="686"/>
        <w:jc w:val="both"/>
        <w:textAlignment w:val="auto"/>
      </w:pPr>
      <w:r>
        <w:rPr>
          <w:rFonts w:ascii="Times New Roman" w:hAnsi="Times New Roman" w:eastAsia="宋体"/>
          <w:b w:val="0"/>
          <w:i w:val="0"/>
          <w:color w:val="000000"/>
          <w:sz w:val="18"/>
        </w:rPr>
        <w:t xml:space="preserve">Figure </w:t>
      </w:r>
      <w:r>
        <w:rPr>
          <w:rFonts w:hint="eastAsia" w:eastAsia="宋体"/>
          <w:b w:val="0"/>
          <w:i w:val="0"/>
          <w:color w:val="000000"/>
          <w:sz w:val="18"/>
          <w:lang w:val="en-US" w:eastAsia="zh-CN"/>
        </w:rPr>
        <w:t>1</w:t>
      </w:r>
      <w:r>
        <w:rPr>
          <w:rFonts w:ascii="Times New Roman" w:hAnsi="Times New Roman" w:eastAsia="宋体"/>
          <w:b w:val="0"/>
          <w:i w:val="0"/>
          <w:color w:val="000000"/>
          <w:sz w:val="18"/>
        </w:rPr>
        <w:t xml:space="preserve">  Model framework and first-belief TBU. Left: the factorial design and tested moderation paths. Center: four actor roles and the synchronous decision cycle. Right: FB level means, DGC interaction contrasts and RT level differences. Contrasts compare high-minus-low effects between DGC=.4 and 0 (RT 7−2; TC .8−.2; GC .75−.25). Whiskers are pointwise HC3 95% intervals; adjusted p values retain the previously tested comparison families. Publishers are scripted; all audience users call the LLM.</w:t>
      </w:r>
    </w:p>
    <w:p w14:paraId="5CC35DBB">
      <w:pPr>
        <w:keepNext/>
        <w:pageBreakBefore w:val="0"/>
        <w:widowControl/>
        <w:kinsoku/>
        <w:wordWrap/>
        <w:overflowPunct/>
        <w:topLinePunct w:val="0"/>
        <w:autoSpaceDE/>
        <w:autoSpaceDN/>
        <w:bidi w:val="0"/>
        <w:adjustRightInd/>
        <w:snapToGrid/>
        <w:spacing w:after="0"/>
        <w:jc w:val="both"/>
        <w:textAlignment w:val="auto"/>
      </w:pPr>
    </w:p>
    <w:p w14:paraId="2C69CBC5">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Figure 1  Implemented actors and access. Arrows show message delivery. SOURCE and GOVERNMENT are scripted publishing accounts; audience users make LLM decisions.</w:t>
      </w:r>
    </w:p>
    <w:p w14:paraId="4C366652">
      <w:pPr>
        <w:pStyle w:val="15"/>
        <w:keepNext/>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Table 1  Factor levels and direct-delivery allocation</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75" w:type="dxa"/>
          <w:bottom w:w="65" w:type="dxa"/>
          <w:right w:w="75" w:type="dxa"/>
        </w:tblCellMar>
      </w:tblPr>
      <w:tblGrid>
        <w:gridCol w:w="1944"/>
        <w:gridCol w:w="864"/>
        <w:gridCol w:w="1584"/>
        <w:gridCol w:w="5328"/>
      </w:tblGrid>
      <w:tr w14:paraId="0FC657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tblHeader/>
          <w:jc w:val="center"/>
        </w:trPr>
        <w:tc>
          <w:tcPr>
            <w:tcW w:w="1944" w:type="dxa"/>
            <w:shd w:val="clear" w:color="auto" w:fill="E5ECF1"/>
            <w:vAlign w:val="center"/>
          </w:tcPr>
          <w:p w14:paraId="088C3399">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Factor</w:t>
            </w:r>
          </w:p>
        </w:tc>
        <w:tc>
          <w:tcPr>
            <w:tcW w:w="864" w:type="dxa"/>
            <w:shd w:val="clear" w:color="auto" w:fill="E5ECF1"/>
            <w:vAlign w:val="center"/>
          </w:tcPr>
          <w:p w14:paraId="111BE013">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Symbol</w:t>
            </w:r>
          </w:p>
        </w:tc>
        <w:tc>
          <w:tcPr>
            <w:tcW w:w="1584" w:type="dxa"/>
            <w:shd w:val="clear" w:color="auto" w:fill="E5ECF1"/>
            <w:vAlign w:val="center"/>
          </w:tcPr>
          <w:p w14:paraId="55E28159">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Levels</w:t>
            </w:r>
          </w:p>
        </w:tc>
        <w:tc>
          <w:tcPr>
            <w:tcW w:w="5328" w:type="dxa"/>
            <w:shd w:val="clear" w:color="auto" w:fill="E5ECF1"/>
            <w:vAlign w:val="center"/>
          </w:tcPr>
          <w:p w14:paraId="6D9134EC">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Operational definition</w:t>
            </w:r>
          </w:p>
        </w:tc>
      </w:tr>
      <w:tr w14:paraId="639AC4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944" w:type="dxa"/>
            <w:vAlign w:val="center"/>
          </w:tcPr>
          <w:p w14:paraId="761AF2A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Response timing</w:t>
            </w:r>
          </w:p>
        </w:tc>
        <w:tc>
          <w:tcPr>
            <w:tcW w:w="864" w:type="dxa"/>
            <w:vAlign w:val="center"/>
          </w:tcPr>
          <w:p w14:paraId="4DD761F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RT</w:t>
            </w:r>
          </w:p>
        </w:tc>
        <w:tc>
          <w:tcPr>
            <w:tcW w:w="1584" w:type="dxa"/>
            <w:vAlign w:val="center"/>
          </w:tcPr>
          <w:p w14:paraId="6EE084B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2, 4, 7</w:t>
            </w:r>
          </w:p>
        </w:tc>
        <w:tc>
          <w:tcPr>
            <w:tcW w:w="5328" w:type="dxa"/>
            <w:vAlign w:val="center"/>
          </w:tcPr>
          <w:p w14:paraId="5DA759B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Official publication and one-time direct delivery round.</w:t>
            </w:r>
          </w:p>
        </w:tc>
      </w:tr>
      <w:tr w14:paraId="6BDC86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944" w:type="dxa"/>
            <w:vAlign w:val="center"/>
          </w:tcPr>
          <w:p w14:paraId="46BC3E9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Targeting capacity</w:t>
            </w:r>
          </w:p>
        </w:tc>
        <w:tc>
          <w:tcPr>
            <w:tcW w:w="864" w:type="dxa"/>
            <w:vAlign w:val="center"/>
          </w:tcPr>
          <w:p w14:paraId="3DAE47C5">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TC</w:t>
            </w:r>
          </w:p>
        </w:tc>
        <w:tc>
          <w:tcPr>
            <w:tcW w:w="1584" w:type="dxa"/>
            <w:vAlign w:val="center"/>
          </w:tcPr>
          <w:p w14:paraId="009FBA3D">
            <w:pPr>
              <w:pageBreakBefore w:val="0"/>
              <w:widowControl/>
              <w:kinsoku/>
              <w:wordWrap/>
              <w:overflowPunct/>
              <w:topLinePunct w:val="0"/>
              <w:autoSpaceDE/>
              <w:autoSpaceDN/>
              <w:bidi w:val="0"/>
              <w:adjustRightInd/>
              <w:snapToGrid/>
              <w:spacing w:before="0" w:after="0" w:line="245" w:lineRule="auto"/>
              <w:jc w:val="both"/>
              <w:textAlignment w:val="auto"/>
            </w:pPr>
            <w:r>
              <w:rPr>
                <w:rFonts w:hint="eastAsia" w:eastAsia="宋体"/>
                <w:b w:val="0"/>
                <w:i w:val="0"/>
                <w:color w:val="000000"/>
                <w:sz w:val="18"/>
                <w:lang w:val="en-US" w:eastAsia="zh-CN"/>
              </w:rPr>
              <w:t>0</w:t>
            </w:r>
            <w:r>
              <w:rPr>
                <w:rFonts w:ascii="Times New Roman" w:hAnsi="Times New Roman" w:eastAsia="宋体"/>
                <w:b w:val="0"/>
                <w:i w:val="0"/>
                <w:color w:val="000000"/>
                <w:sz w:val="18"/>
              </w:rPr>
              <w:t>.20,</w:t>
            </w:r>
            <w:r>
              <w:rPr>
                <w:rFonts w:hint="eastAsia" w:eastAsia="宋体"/>
                <w:b w:val="0"/>
                <w:i w:val="0"/>
                <w:color w:val="000000"/>
                <w:sz w:val="18"/>
                <w:lang w:val="en-US" w:eastAsia="zh-CN"/>
              </w:rPr>
              <w:t xml:space="preserve"> 0</w:t>
            </w:r>
            <w:r>
              <w:rPr>
                <w:rFonts w:ascii="Times New Roman" w:hAnsi="Times New Roman" w:eastAsia="宋体"/>
                <w:b w:val="0"/>
                <w:i w:val="0"/>
                <w:color w:val="000000"/>
                <w:sz w:val="18"/>
              </w:rPr>
              <w:t>.80</w:t>
            </w:r>
          </w:p>
        </w:tc>
        <w:tc>
          <w:tcPr>
            <w:tcW w:w="5328" w:type="dxa"/>
            <w:vAlign w:val="center"/>
          </w:tcPr>
          <w:p w14:paraId="33CD81D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Inside share of 50 recipients: 10/40 or 40/10 inside/outside.</w:t>
            </w:r>
          </w:p>
        </w:tc>
      </w:tr>
      <w:tr w14:paraId="72E1E0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944" w:type="dxa"/>
            <w:vAlign w:val="center"/>
          </w:tcPr>
          <w:p w14:paraId="114B191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Government credibility</w:t>
            </w:r>
          </w:p>
        </w:tc>
        <w:tc>
          <w:tcPr>
            <w:tcW w:w="864" w:type="dxa"/>
            <w:vAlign w:val="center"/>
          </w:tcPr>
          <w:p w14:paraId="138D7C24">
            <w:pPr>
              <w:pageBreakBefore w:val="0"/>
              <w:widowControl/>
              <w:kinsoku/>
              <w:wordWrap/>
              <w:overflowPunct/>
              <w:topLinePunct w:val="0"/>
              <w:autoSpaceDE/>
              <w:autoSpaceDN/>
              <w:bidi w:val="0"/>
              <w:adjustRightInd/>
              <w:snapToGrid/>
              <w:spacing w:before="0" w:after="0" w:line="245" w:lineRule="auto"/>
              <w:jc w:val="both"/>
              <w:textAlignment w:val="auto"/>
              <w:rPr>
                <w:rFonts w:hint="eastAsia" w:eastAsia="宋体"/>
                <w:lang w:val="en-US" w:eastAsia="zh-CN"/>
              </w:rPr>
            </w:pPr>
            <w:r>
              <w:rPr>
                <w:rFonts w:ascii="Times New Roman" w:hAnsi="Times New Roman" w:eastAsia="宋体"/>
                <w:b w:val="0"/>
                <w:i w:val="0"/>
                <w:color w:val="000000"/>
                <w:sz w:val="18"/>
              </w:rPr>
              <w:t>GC</w:t>
            </w:r>
          </w:p>
        </w:tc>
        <w:tc>
          <w:tcPr>
            <w:tcW w:w="1584" w:type="dxa"/>
            <w:vAlign w:val="center"/>
          </w:tcPr>
          <w:p w14:paraId="010707CF">
            <w:pPr>
              <w:pageBreakBefore w:val="0"/>
              <w:widowControl/>
              <w:kinsoku/>
              <w:wordWrap/>
              <w:overflowPunct/>
              <w:topLinePunct w:val="0"/>
              <w:autoSpaceDE/>
              <w:autoSpaceDN/>
              <w:bidi w:val="0"/>
              <w:adjustRightInd/>
              <w:snapToGrid/>
              <w:spacing w:before="0" w:after="0" w:line="245" w:lineRule="auto"/>
              <w:jc w:val="both"/>
              <w:textAlignment w:val="auto"/>
            </w:pPr>
            <w:r>
              <w:rPr>
                <w:rFonts w:hint="eastAsia" w:eastAsia="宋体"/>
                <w:b w:val="0"/>
                <w:i w:val="0"/>
                <w:color w:val="000000"/>
                <w:sz w:val="18"/>
                <w:lang w:val="en-US" w:eastAsia="zh-CN"/>
              </w:rPr>
              <w:t>0</w:t>
            </w:r>
            <w:r>
              <w:rPr>
                <w:rFonts w:ascii="Times New Roman" w:hAnsi="Times New Roman" w:eastAsia="宋体"/>
                <w:b w:val="0"/>
                <w:i w:val="0"/>
                <w:color w:val="000000"/>
                <w:sz w:val="18"/>
              </w:rPr>
              <w:t xml:space="preserve">.25, </w:t>
            </w:r>
            <w:r>
              <w:rPr>
                <w:rFonts w:hint="eastAsia" w:eastAsia="宋体"/>
                <w:b w:val="0"/>
                <w:i w:val="0"/>
                <w:color w:val="000000"/>
                <w:sz w:val="18"/>
                <w:lang w:val="en-US" w:eastAsia="zh-CN"/>
              </w:rPr>
              <w:t>0</w:t>
            </w:r>
            <w:r>
              <w:rPr>
                <w:rFonts w:ascii="Times New Roman" w:hAnsi="Times New Roman" w:eastAsia="宋体"/>
                <w:b w:val="0"/>
                <w:i w:val="0"/>
                <w:color w:val="000000"/>
                <w:sz w:val="18"/>
              </w:rPr>
              <w:t xml:space="preserve">.50, </w:t>
            </w:r>
            <w:r>
              <w:rPr>
                <w:rFonts w:hint="eastAsia" w:eastAsia="宋体"/>
                <w:b w:val="0"/>
                <w:i w:val="0"/>
                <w:color w:val="000000"/>
                <w:sz w:val="18"/>
                <w:lang w:val="en-US" w:eastAsia="zh-CN"/>
              </w:rPr>
              <w:t>0</w:t>
            </w:r>
            <w:r>
              <w:rPr>
                <w:rFonts w:ascii="Times New Roman" w:hAnsi="Times New Roman" w:eastAsia="宋体"/>
                <w:b w:val="0"/>
                <w:i w:val="0"/>
                <w:color w:val="000000"/>
                <w:sz w:val="18"/>
              </w:rPr>
              <w:t>.75</w:t>
            </w:r>
          </w:p>
        </w:tc>
        <w:tc>
          <w:tcPr>
            <w:tcW w:w="5328" w:type="dxa"/>
            <w:vAlign w:val="center"/>
          </w:tcPr>
          <w:p w14:paraId="081986D5">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Population mean of assigned prior trust in GOVERNMENT.</w:t>
            </w:r>
          </w:p>
        </w:tc>
      </w:tr>
      <w:tr w14:paraId="57C4FD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944" w:type="dxa"/>
            <w:vAlign w:val="center"/>
          </w:tcPr>
          <w:p w14:paraId="2447E8B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Degree of group cocooning</w:t>
            </w:r>
          </w:p>
        </w:tc>
        <w:tc>
          <w:tcPr>
            <w:tcW w:w="864" w:type="dxa"/>
            <w:vAlign w:val="center"/>
          </w:tcPr>
          <w:p w14:paraId="598EC42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DGC</w:t>
            </w:r>
          </w:p>
        </w:tc>
        <w:tc>
          <w:tcPr>
            <w:tcW w:w="1584" w:type="dxa"/>
            <w:vAlign w:val="center"/>
          </w:tcPr>
          <w:p w14:paraId="3A74A88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0, .20,</w:t>
            </w:r>
            <w:r>
              <w:rPr>
                <w:rFonts w:hint="eastAsia" w:eastAsia="宋体"/>
                <w:b w:val="0"/>
                <w:i w:val="0"/>
                <w:color w:val="000000"/>
                <w:sz w:val="18"/>
                <w:lang w:val="en-US" w:eastAsia="zh-CN"/>
              </w:rPr>
              <w:t xml:space="preserve"> 0</w:t>
            </w:r>
            <w:r>
              <w:rPr>
                <w:rFonts w:ascii="Times New Roman" w:hAnsi="Times New Roman" w:eastAsia="宋体"/>
                <w:b w:val="0"/>
                <w:i w:val="0"/>
                <w:color w:val="000000"/>
                <w:sz w:val="18"/>
              </w:rPr>
              <w:t>.40</w:t>
            </w:r>
          </w:p>
        </w:tc>
        <w:tc>
          <w:tcPr>
            <w:tcW w:w="5328" w:type="dxa"/>
            <w:vAlign w:val="center"/>
          </w:tcPr>
          <w:p w14:paraId="65C18FA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Inside-minus-outside mean SOURCE trust; network fixed.</w:t>
            </w:r>
          </w:p>
        </w:tc>
      </w:tr>
    </w:tbl>
    <w:p w14:paraId="0C36CF27">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3×2×3×3=54 settings; ten rounds each. Targets are sampled without replacement without screening current belief. TC=.20 reaches 20.83%/15.87% of inside/outside users; TC=.80 reaches 83.33%/3.97%.</w:t>
      </w:r>
    </w:p>
    <w:p w14:paraId="438517DF">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1"/>
        </w:rPr>
        <w:t>Individual SOURCE and government trust are fixed 0–1 priors, distinct from the changing 0–100 belief score. SOURCE mean assignments are:</w:t>
      </w:r>
    </w:p>
    <w:p w14:paraId="2DF4E322">
      <w:pPr>
        <w:pageBreakBefore w:val="0"/>
        <w:widowControl/>
        <w:kinsoku/>
        <w:wordWrap/>
        <w:overflowPunct/>
        <w:topLinePunct w:val="0"/>
        <w:autoSpaceDE/>
        <w:autoSpaceDN/>
        <w:bidi w:val="0"/>
        <w:adjustRightInd/>
        <w:snapToGrid/>
        <w:spacing w:before="0" w:after="60" w:line="240" w:lineRule="auto"/>
        <w:jc w:val="both"/>
        <w:textAlignment w:val="auto"/>
        <w:rPr>
          <w:rFonts w:hint="default" w:ascii="Times New Roman" w:hAnsi="Times New Roman" w:cs="Times New Roman"/>
        </w:rPr>
      </w:pPr>
      <m:oMathPara>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μ</m:t>
              </m:r>
              <m:ctrlPr>
                <w:rPr>
                  <w:rFonts w:hint="default" w:ascii="Cambria Math" w:hAnsi="Cambria Math" w:cs="Times New Roman"/>
                </w:rPr>
              </m:ctrlPr>
            </m:e>
            <m:sub>
              <m:r>
                <m:rPr>
                  <m:nor/>
                  <m:sty m:val="p"/>
                </m:rPr>
                <w:rPr>
                  <w:rFonts w:hint="default" w:ascii="Times New Roman" w:hAnsi="Times New Roman" w:cs="Times New Roman"/>
                  <w:b w:val="0"/>
                  <w:i w:val="0"/>
                </w:rPr>
                <m:t>s,in</m:t>
              </m:r>
              <m:ctrlPr>
                <w:rPr>
                  <w:rFonts w:hint="default" w:ascii="Cambria Math" w:hAnsi="Cambria Math" w:cs="Times New Roman"/>
                </w:rPr>
              </m:ctrlPr>
            </m:sub>
          </m:sSub>
          <m:r>
            <m:rPr>
              <m:nor/>
              <m:sty m:val="p"/>
            </m:rPr>
            <w:rPr>
              <w:rFonts w:hint="default" w:ascii="Times New Roman" w:hAnsi="Times New Roman" w:cs="Times New Roman"/>
              <w:b w:val="0"/>
              <w:i w:val="0"/>
            </w:rPr>
            <m:t>= 0.5 + DGC/2;</m:t>
          </m:r>
          <m:sSub>
            <m:sSubPr>
              <m:ctrlPr>
                <w:rPr>
                  <w:rFonts w:hint="default" w:ascii="Cambria Math" w:hAnsi="Cambria Math" w:cs="Times New Roman"/>
                </w:rPr>
              </m:ctrlPr>
            </m:sSubPr>
            <m:e>
              <m:r>
                <m:rPr>
                  <m:nor/>
                  <m:sty m:val="p"/>
                </m:rPr>
                <w:rPr>
                  <w:rFonts w:hint="default" w:ascii="Times New Roman" w:hAnsi="Times New Roman" w:cs="Times New Roman"/>
                  <w:b w:val="0"/>
                  <w:i w:val="0"/>
                </w:rPr>
                <m:t>μ</m:t>
              </m:r>
              <m:ctrlPr>
                <w:rPr>
                  <w:rFonts w:hint="default" w:ascii="Cambria Math" w:hAnsi="Cambria Math" w:cs="Times New Roman"/>
                </w:rPr>
              </m:ctrlPr>
            </m:e>
            <m:sub>
              <m:r>
                <m:rPr>
                  <m:nor/>
                  <m:sty m:val="p"/>
                </m:rPr>
                <w:rPr>
                  <w:rFonts w:hint="default" w:ascii="Times New Roman" w:hAnsi="Times New Roman" w:cs="Times New Roman"/>
                  <w:b w:val="0"/>
                  <w:i w:val="0"/>
                </w:rPr>
                <m:t>s,out</m:t>
              </m:r>
              <m:ctrlPr>
                <w:rPr>
                  <w:rFonts w:hint="default" w:ascii="Cambria Math" w:hAnsi="Cambria Math" w:cs="Times New Roman"/>
                </w:rPr>
              </m:ctrlPr>
            </m:sub>
          </m:sSub>
          <m:r>
            <m:rPr>
              <m:nor/>
              <m:sty m:val="p"/>
            </m:rPr>
            <w:rPr>
              <w:rFonts w:hint="default" w:ascii="Times New Roman" w:hAnsi="Times New Roman" w:cs="Times New Roman"/>
              <w:b w:val="0"/>
              <w:i w:val="0"/>
            </w:rPr>
            <m:t>= 0.5 − DGC/2.</m:t>
          </m:r>
        </m:oMath>
      </m:oMathPara>
    </w:p>
    <w:p w14:paraId="08790979">
      <w:pPr>
        <w:pageBreakBefore w:val="0"/>
        <w:widowControl/>
        <w:kinsoku/>
        <w:wordWrap/>
        <w:overflowPunct/>
        <w:topLinePunct w:val="0"/>
        <w:autoSpaceDE/>
        <w:autoSpaceDN/>
        <w:bidi w:val="0"/>
        <w:adjustRightInd/>
        <w:snapToGrid/>
        <w:spacing w:before="0" w:after="100" w:line="254" w:lineRule="auto"/>
        <w:jc w:val="both"/>
        <w:textAlignment w:val="auto"/>
        <w:rPr>
          <w:rFonts w:ascii="Times New Roman" w:hAnsi="Times New Roman" w:eastAsia="宋体"/>
          <w:b w:val="0"/>
          <w:i w:val="0"/>
          <w:color w:val="000000"/>
          <w:sz w:val="21"/>
        </w:rPr>
      </w:pPr>
      <w:r>
        <w:rPr>
          <w:rFonts w:ascii="Times New Roman" w:hAnsi="Times New Roman" w:eastAsia="宋体"/>
          <w:b w:val="0"/>
          <w:i w:val="0"/>
          <w:color w:val="000000"/>
          <w:sz w:val="21"/>
        </w:rPr>
        <w:t>Symmetric truncated-normal quantiles (scale .10) and seeded permutations assign trust. Increasing DGC lowers population mean SOURCE trust from .500 to .432 and .364 because group sizes differ; DGC is therefore not a pure structural-network manipulation.</w:t>
      </w:r>
    </w:p>
    <w:p w14:paraId="105A23E6">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i w:val="0"/>
          <w:color w:val="000000"/>
          <w:sz w:val="26"/>
        </w:rPr>
        <w:t>4 Agent decisions and TBU measurement</w:t>
      </w:r>
    </w:p>
    <w:p w14:paraId="5C1131A8">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Synthetic profiles vary in age (18–74), region, occupation, community-project experience, all 16 MBTI types, verification preference, sharing propensity and repetition sensitivity. For each exposed user, MiniMax-M3 receives all 11 assigned conditions, previous score, actual exposures, current material and retained history. It returns an overall score, three component scores and optional comment/repost choices. Only the overall score classifies belief: &gt;50 is believe; ≤50 is reject. Unjudged is a null baseline for users not yet assessed.</w:t>
      </w:r>
    </w:p>
    <w:p w14:paraId="13E17C40">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Higher SOURCE trust is prompted to strengthen source persuasiveness. Government trust weights the official response only after actual exposure. Individual values below 1/3, from 1/3 to below 2/3 and at least 2/3 receive cautious, conditional and more favorable descriptions of government competence and reliability. These are modeling assumptions; the program does not impose a fixed trust-weighted score or mandatory point change.</w:t>
      </w:r>
    </w:p>
    <w:p w14:paraId="60225DB9">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For repeat readings beyond the first, n, the prompt uses a saturating familiarity signal. With repetition sensitivity ρ, verification preference v and baseline sharing propensity p:</w:t>
      </w:r>
    </w:p>
    <w:p w14:paraId="46033473">
      <w:pPr>
        <w:pageBreakBefore w:val="0"/>
        <w:widowControl/>
        <w:kinsoku/>
        <w:wordWrap/>
        <w:overflowPunct/>
        <w:topLinePunct w:val="0"/>
        <w:autoSpaceDE/>
        <w:autoSpaceDN/>
        <w:bidi w:val="0"/>
        <w:adjustRightInd/>
        <w:snapToGrid/>
        <w:spacing w:before="0" w:after="60" w:line="240" w:lineRule="auto"/>
        <w:jc w:val="both"/>
        <w:textAlignment w:val="auto"/>
        <w:rPr>
          <w:rFonts w:hint="default" w:ascii="Times New Roman" w:hAnsi="Times New Roman" w:cs="Times New Roman"/>
        </w:rPr>
      </w:pPr>
      <m:oMathPara>
        <m:oMath>
          <m:r>
            <m:rPr>
              <m:nor/>
              <m:sty m:val="p"/>
            </m:rPr>
            <w:rPr>
              <w:rFonts w:hint="default" w:ascii="Times New Roman" w:hAnsi="Times New Roman" w:cs="Times New Roman"/>
              <w:b w:val="0"/>
              <w:i w:val="0"/>
            </w:rPr>
            <m:t>h = 1 − exp(−n/3).</m:t>
          </m:r>
        </m:oMath>
      </m:oMathPara>
    </w:p>
    <w:p w14:paraId="7DFEB972">
      <w:pPr>
        <w:pageBreakBefore w:val="0"/>
        <w:widowControl/>
        <w:kinsoku/>
        <w:wordWrap/>
        <w:overflowPunct/>
        <w:topLinePunct w:val="0"/>
        <w:autoSpaceDE/>
        <w:autoSpaceDN/>
        <w:bidi w:val="0"/>
        <w:adjustRightInd/>
        <w:snapToGrid/>
        <w:spacing w:before="0" w:after="60" w:line="240" w:lineRule="auto"/>
        <w:jc w:val="both"/>
        <w:textAlignment w:val="auto"/>
        <w:rPr>
          <w:rFonts w:hint="default" w:ascii="Times New Roman" w:hAnsi="Times New Roman" w:cs="Times New Roman"/>
        </w:rPr>
      </w:pPr>
      <m:oMathPara>
        <m:oMath>
          <m:r>
            <m:rPr>
              <m:nor/>
              <m:sty m:val="p"/>
            </m:rPr>
            <w:rPr>
              <w:rFonts w:hint="default" w:ascii="Times New Roman" w:hAnsi="Times New Roman" w:cs="Times New Roman"/>
              <w:b w:val="0"/>
              <w:i w:val="0"/>
            </w:rPr>
            <m:t>Δf = 0.35ρ(1 − 0.5v)h;</m:t>
          </m:r>
          <m:sSup>
            <m:sSupPr>
              <m:ctrlPr>
                <w:rPr>
                  <w:rFonts w:hint="default" w:ascii="Cambria Math" w:hAnsi="Cambria Math" w:cs="Times New Roman"/>
                </w:rPr>
              </m:ctrlPr>
            </m:sSupPr>
            <m:e>
              <m:r>
                <m:rPr>
                  <m:nor/>
                  <m:sty m:val="p"/>
                </m:rPr>
                <w:rPr>
                  <w:rFonts w:hint="default" w:ascii="Times New Roman" w:hAnsi="Times New Roman" w:cs="Times New Roman"/>
                  <w:b w:val="0"/>
                  <w:i w:val="0"/>
                </w:rPr>
                <m:t>p</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 min(0.95, p + 0.25ρh).</m:t>
          </m:r>
        </m:oMath>
      </m:oMathPara>
    </w:p>
    <w:p w14:paraId="6DD9C5AB">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The coefficients are study settings. History covers the previous three rounds; scores, cumulative exposures and repost flags persist. Each accessible root shows its latest 30 earlier comments, including non-followee comments. A user may comment on one visible root and repost one root per round; each root can be reposted only once per user. New actions appear in the next round. Reposts are not independent verification and may express disagreement.</w:t>
      </w:r>
    </w:p>
    <w:p w14:paraId="6840C3C8">
      <w:pPr>
        <w:pStyle w:val="4"/>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3"/>
        </w:rPr>
        <w:t>First belief to an observed update</w:t>
      </w:r>
    </w:p>
    <w:p w14:paraId="03809D92">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For user i in scenario s, b is the first observed score&gt;50; r is the first actual believe-to-reject transition in or after publication round RT. Because publication precedes that round’s decisions, r=RT qualifies. TBU starts at first belief:</w:t>
      </w:r>
    </w:p>
    <w:p w14:paraId="41B7A8C6">
      <w:pPr>
        <w:pageBreakBefore w:val="0"/>
        <w:widowControl/>
        <w:kinsoku/>
        <w:wordWrap/>
        <w:overflowPunct/>
        <w:topLinePunct w:val="0"/>
        <w:autoSpaceDE/>
        <w:autoSpaceDN/>
        <w:bidi w:val="0"/>
        <w:adjustRightInd/>
        <w:snapToGrid/>
        <w:spacing w:after="80"/>
        <w:jc w:val="both"/>
        <w:textAlignment w:val="auto"/>
      </w:pPr>
      <m:oMathPara>
        <m:oMath>
          <m:sSub>
            <m:sSubPr/>
            <m:e>
              <m:r>
                <m:rPr>
                  <m:sty m:val="p"/>
                </m:rPr>
                <m:t>TBU</m:t>
              </m:r>
            </m:e>
            <m:sub>
              <m:r>
                <m:rPr>
                  <m:sty m:val="p"/>
                </m:rPr>
                <m:t>is</m:t>
              </m:r>
            </m:sub>
          </m:sSub>
          <m:r>
            <m:rPr>
              <m:sty m:val="p"/>
            </m:rPr>
            <m:t>=</m:t>
          </m:r>
          <m:sSub>
            <m:sSubPr/>
            <m:e>
              <m:r>
                <m:rPr>
                  <m:sty m:val="p"/>
                </m:rPr>
                <m:t>r</m:t>
              </m:r>
            </m:e>
            <m:sub>
              <m:r>
                <m:rPr>
                  <m:sty m:val="p"/>
                </m:rPr>
                <m:t>is</m:t>
              </m:r>
            </m:sub>
          </m:sSub>
          <m:r>
            <m:rPr>
              <m:sty m:val="p"/>
            </m:rPr>
            <m:t>−</m:t>
          </m:r>
          <m:sSub>
            <m:sSubPr/>
            <m:e>
              <m:r>
                <m:rPr>
                  <m:sty m:val="p"/>
                </m:rPr>
                <m:t>b</m:t>
              </m:r>
            </m:e>
            <m:sub>
              <m:r>
                <m:rPr>
                  <m:sty m:val="p"/>
                </m:rPr>
                <m:t>is</m:t>
              </m:r>
            </m:sub>
          </m:sSub>
          <m:r>
            <m:rPr>
              <m:sty m:val="p"/>
            </m:rPr>
            <m:t>,</m:t>
          </m:r>
          <m:sSub>
            <m:sSubPr/>
            <m:e>
              <m:r>
                <m:rPr>
                  <m:sty m:val="p"/>
                </m:rPr>
                <m:t>r</m:t>
              </m:r>
            </m:e>
            <m:sub>
              <m:r>
                <m:rPr>
                  <m:sty m:val="p"/>
                </m:rPr>
                <m:t>is</m:t>
              </m:r>
            </m:sub>
          </m:sSub>
          <m:r>
            <m:rPr>
              <m:sty m:val="p"/>
            </m:rPr>
            <m:t>≥</m:t>
          </m:r>
          <m:sSub>
            <m:sSubPr/>
            <m:e>
              <m:r>
                <m:rPr>
                  <m:sty m:val="p"/>
                </m:rPr>
                <m:t>RT</m:t>
              </m:r>
            </m:e>
            <m:sub>
              <m:r>
                <m:rPr>
                  <m:sty m:val="p"/>
                </m:rPr>
                <m:t>s</m:t>
              </m:r>
            </m:sub>
          </m:sSub>
          <m:r>
            <m:rPr>
              <m:sty m:val="p"/>
            </m:rPr>
            <m:t>;</m:t>
          </m:r>
          <m:sSub>
            <m:sSubPr/>
            <m:e>
              <m:r>
                <m:rPr>
                  <m:sty m:val="p"/>
                </m:rPr>
                <m:t>TBU</m:t>
              </m:r>
            </m:e>
            <m:sub>
              <m:r>
                <m:rPr>
                  <m:sty m:val="p"/>
                </m:rPr>
                <m:t>s</m:t>
              </m:r>
            </m:sub>
          </m:sSub>
          <m:r>
            <m:rPr>
              <m:sty m:val="p"/>
            </m:rPr>
            <m:t>= mean(</m:t>
          </m:r>
          <m:sSub>
            <m:sSubPr/>
            <m:e>
              <m:r>
                <m:rPr>
                  <m:sty m:val="p"/>
                </m:rPr>
                <m:t>TBU</m:t>
              </m:r>
            </m:e>
            <m:sub>
              <m:r>
                <m:rPr>
                  <m:sty m:val="p"/>
                </m:rPr>
                <m:t>is</m:t>
              </m:r>
            </m:sub>
          </m:sSub>
          <m:r>
            <m:rPr>
              <m:sty m:val="p"/>
            </m:rPr>
            <m:t>).</m:t>
          </m:r>
        </m:oMath>
      </m:oMathPara>
    </w:p>
    <w:p w14:paraId="662D4480">
      <w:pPr>
        <w:pStyle w:val="15"/>
        <w:keepNext/>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Table 2  Outcome accounting among 16,200 user-scenario instances</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75" w:type="dxa"/>
          <w:bottom w:w="65" w:type="dxa"/>
          <w:right w:w="75" w:type="dxa"/>
        </w:tblCellMar>
      </w:tblPr>
      <w:tblGrid>
        <w:gridCol w:w="2376"/>
        <w:gridCol w:w="792"/>
        <w:gridCol w:w="6552"/>
      </w:tblGrid>
      <w:tr w14:paraId="741EAE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tblHeader/>
          <w:jc w:val="center"/>
        </w:trPr>
        <w:tc>
          <w:tcPr>
            <w:tcW w:w="2376" w:type="dxa"/>
            <w:shd w:val="clear" w:color="auto" w:fill="E5ECF1"/>
            <w:vAlign w:val="center"/>
          </w:tcPr>
          <w:p w14:paraId="3A879A9E">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Outcome</w:t>
            </w:r>
          </w:p>
        </w:tc>
        <w:tc>
          <w:tcPr>
            <w:tcW w:w="792" w:type="dxa"/>
            <w:shd w:val="clear" w:color="auto" w:fill="E5ECF1"/>
            <w:vAlign w:val="center"/>
          </w:tcPr>
          <w:p w14:paraId="6B92B81C">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Count</w:t>
            </w:r>
          </w:p>
        </w:tc>
        <w:tc>
          <w:tcPr>
            <w:tcW w:w="6552" w:type="dxa"/>
            <w:shd w:val="clear" w:color="auto" w:fill="E5ECF1"/>
            <w:vAlign w:val="center"/>
          </w:tcPr>
          <w:p w14:paraId="4F91598B">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Treatment in the TBU analysis</w:t>
            </w:r>
          </w:p>
        </w:tc>
      </w:tr>
      <w:tr w14:paraId="29EE5F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2376" w:type="dxa"/>
            <w:vAlign w:val="center"/>
          </w:tcPr>
          <w:p w14:paraId="5944EE1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Qualifying observed updates</w:t>
            </w:r>
          </w:p>
        </w:tc>
        <w:tc>
          <w:tcPr>
            <w:tcW w:w="792" w:type="dxa"/>
            <w:vAlign w:val="center"/>
          </w:tcPr>
          <w:p w14:paraId="3FF8F699">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757</w:t>
            </w:r>
          </w:p>
        </w:tc>
        <w:tc>
          <w:tcPr>
            <w:tcW w:w="6552" w:type="dxa"/>
            <w:vAlign w:val="center"/>
          </w:tcPr>
          <w:p w14:paraId="39849AC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54 scenario means; 282 in the publication round and 475 later.</w:t>
            </w:r>
          </w:p>
        </w:tc>
      </w:tr>
      <w:tr w14:paraId="1E0753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2376" w:type="dxa"/>
            <w:vAlign w:val="center"/>
          </w:tcPr>
          <w:p w14:paraId="3A15015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Unresolved first episodes</w:t>
            </w:r>
          </w:p>
        </w:tc>
        <w:tc>
          <w:tcPr>
            <w:tcW w:w="792" w:type="dxa"/>
            <w:vAlign w:val="center"/>
          </w:tcPr>
          <w:p w14:paraId="1064972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222</w:t>
            </w:r>
          </w:p>
        </w:tc>
        <w:tc>
          <w:tcPr>
            <w:tcW w:w="6552" w:type="dxa"/>
            <w:vAlign w:val="center"/>
          </w:tcPr>
          <w:p w14:paraId="229605E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Right-censored at round 10; exclude from the converter mean.</w:t>
            </w:r>
          </w:p>
        </w:tc>
      </w:tr>
      <w:tr w14:paraId="5D330B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2376" w:type="dxa"/>
            <w:vAlign w:val="center"/>
          </w:tcPr>
          <w:p w14:paraId="7CC9AF09">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Resolved before publication</w:t>
            </w:r>
          </w:p>
        </w:tc>
        <w:tc>
          <w:tcPr>
            <w:tcW w:w="792" w:type="dxa"/>
            <w:vAlign w:val="center"/>
          </w:tcPr>
          <w:p w14:paraId="7347DA8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w:t>
            </w:r>
          </w:p>
        </w:tc>
        <w:tc>
          <w:tcPr>
            <w:tcW w:w="6552" w:type="dxa"/>
            <w:vAlign w:val="center"/>
          </w:tcPr>
          <w:p w14:paraId="4459D9B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Exclude from the post-publication update endpoint.</w:t>
            </w:r>
          </w:p>
        </w:tc>
      </w:tr>
      <w:tr w14:paraId="1DF992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2376" w:type="dxa"/>
            <w:vAlign w:val="center"/>
          </w:tcPr>
          <w:p w14:paraId="576841E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Never believed</w:t>
            </w:r>
          </w:p>
        </w:tc>
        <w:tc>
          <w:tcPr>
            <w:tcW w:w="792" w:type="dxa"/>
            <w:vAlign w:val="center"/>
          </w:tcPr>
          <w:p w14:paraId="06B4698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15,220</w:t>
            </w:r>
          </w:p>
        </w:tc>
        <w:tc>
          <w:tcPr>
            <w:tcW w:w="6552" w:type="dxa"/>
            <w:vAlign w:val="center"/>
          </w:tcPr>
          <w:p w14:paraId="01C52E3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No belief onset; TBU is not defined.</w:t>
            </w:r>
          </w:p>
        </w:tc>
      </w:tr>
    </w:tbl>
    <w:p w14:paraId="41E447EA">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980 instances ever believed. Unresolved outcomes are not zero or interpolated. First updating events remain recorded after any later relapse.</w:t>
      </w:r>
    </w:p>
    <w:p w14:paraId="19E09005">
      <w:pPr>
        <w:pageBreakBefore w:val="0"/>
        <w:widowControl/>
        <w:kinsoku/>
        <w:wordWrap/>
        <w:overflowPunct/>
        <w:topLinePunct w:val="0"/>
        <w:autoSpaceDE/>
        <w:autoSpaceDN/>
        <w:bidi w:val="0"/>
        <w:adjustRightInd/>
        <w:snapToGrid/>
        <w:jc w:val="both"/>
        <w:textAlignment w:val="auto"/>
      </w:pPr>
      <w:r>
        <w:rPr>
          <w:rFonts w:ascii="Times New Roman" w:hAnsi="Times New Roman" w:eastAsia="宋体"/>
          <w:b w:val="0"/>
          <w:i w:val="0"/>
          <w:color w:val="000000"/>
          <w:sz w:val="21"/>
        </w:rPr>
        <w:t>Scenario means are equally weighted. Categorical additive models test level differences. Numeric M1 includes RT, TC and GC; M2 adds DGC; M3 adds its interactions with RT, TC and GC. Inputs are centered at RT=13/3, TC=GC=.5 and DGC=.2 without rescaling. HC3 F/t inference uses pointwise 95% intervals. FB was retained after exploratory endpoint review, so existing multiplicity families are preserved: 8 level tests, 20 pairwise contrasts, 8 main slopes and 6 interactions. Only FB results are presented.</w:t>
      </w:r>
    </w:p>
    <w:p w14:paraId="1F186366">
      <w:pPr>
        <w:pStyle w:val="3"/>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6"/>
        </w:rPr>
        <w:t>5 Differences across factor levels</w:t>
      </w:r>
    </w:p>
    <w:p w14:paraId="051E8B40">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All 54 scenarios completed ten rounds (540/540). The mean of scenario TBU values is 4.557 steps; pooling the 757 observed updates gives 4.428 steps. Regression uses the 54 scenario means. Adjusted categorical tests support RT, TC and GC differences after the retained Holm correction. DGC has no significant overall level difference.</w:t>
      </w:r>
    </w:p>
    <w:p w14:paraId="3BD839F4">
      <w:pPr>
        <w:keepNext/>
        <w:pageBreakBefore w:val="0"/>
        <w:widowControl/>
        <w:kinsoku/>
        <w:wordWrap/>
        <w:overflowPunct/>
        <w:topLinePunct w:val="0"/>
        <w:autoSpaceDE/>
        <w:autoSpaceDN/>
        <w:bidi w:val="0"/>
        <w:adjustRightInd/>
        <w:snapToGrid/>
        <w:spacing w:after="0"/>
        <w:jc w:val="both"/>
        <w:textAlignment w:val="auto"/>
      </w:pPr>
      <w:r>
        <w:drawing>
          <wp:inline distT="0" distB="0" distL="114300" distR="114300">
            <wp:extent cx="6172200" cy="3448685"/>
            <wp:effectExtent l="0" t="0" r="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72200" cy="3449171"/>
                    </a:xfrm>
                    <a:prstGeom prst="rect">
                      <a:avLst/>
                    </a:prstGeom>
                  </pic:spPr>
                </pic:pic>
              </a:graphicData>
            </a:graphic>
          </wp:inline>
        </w:drawing>
      </w:r>
    </w:p>
    <w:p w14:paraId="57FF3653">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Figure 3  Adjusted first-belief TBU across factor levels. Predictions average equally over the full factorial grid; 54 scenario means are observed. Error bars are pointwise HC3 95% intervals. Displayed adjusted p values retain the original eight-test omnibus family.</w:t>
      </w:r>
    </w:p>
    <w:p w14:paraId="43C2AFD8">
      <w:pPr>
        <w:pStyle w:val="15"/>
        <w:keepNext/>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Table 3  Level tests and high-minus-low contrasts</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75" w:type="dxa"/>
          <w:bottom w:w="65" w:type="dxa"/>
          <w:right w:w="75" w:type="dxa"/>
        </w:tblCellMar>
      </w:tblPr>
      <w:tblGrid>
        <w:gridCol w:w="720"/>
        <w:gridCol w:w="1224"/>
        <w:gridCol w:w="1152"/>
        <w:gridCol w:w="2088"/>
        <w:gridCol w:w="3312"/>
        <w:gridCol w:w="1224"/>
      </w:tblGrid>
      <w:tr w14:paraId="16694F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tblHeader/>
          <w:jc w:val="center"/>
        </w:trPr>
        <w:tc>
          <w:tcPr>
            <w:tcW w:w="720" w:type="dxa"/>
            <w:shd w:val="clear" w:color="auto" w:fill="E5ECF1"/>
            <w:vAlign w:val="center"/>
          </w:tcPr>
          <w:p w14:paraId="3C7CA0F0">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Factor</w:t>
            </w:r>
          </w:p>
        </w:tc>
        <w:tc>
          <w:tcPr>
            <w:tcW w:w="1224" w:type="dxa"/>
            <w:shd w:val="clear" w:color="auto" w:fill="E5ECF1"/>
            <w:vAlign w:val="center"/>
          </w:tcPr>
          <w:p w14:paraId="6E787133">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F(df)</w:t>
            </w:r>
          </w:p>
        </w:tc>
        <w:tc>
          <w:tcPr>
            <w:tcW w:w="1152" w:type="dxa"/>
            <w:shd w:val="clear" w:color="auto" w:fill="E5ECF1"/>
            <w:vAlign w:val="center"/>
          </w:tcPr>
          <w:p w14:paraId="595C8F01">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Adjusted p</w:t>
            </w:r>
          </w:p>
        </w:tc>
        <w:tc>
          <w:tcPr>
            <w:tcW w:w="2088" w:type="dxa"/>
            <w:shd w:val="clear" w:color="auto" w:fill="E5ECF1"/>
            <w:vAlign w:val="center"/>
          </w:tcPr>
          <w:p w14:paraId="142DFB24">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Adjusted means</w:t>
            </w:r>
            <w:r>
              <w:rPr>
                <w:rFonts w:ascii="Times New Roman" w:hAnsi="Times New Roman" w:eastAsia="宋体"/>
                <w:b/>
                <w:i w:val="0"/>
                <w:color w:val="000000"/>
                <w:sz w:val="18"/>
              </w:rPr>
              <w:br w:type="textWrapping"/>
            </w:r>
            <w:r>
              <w:rPr>
                <w:rFonts w:ascii="Times New Roman" w:hAnsi="Times New Roman" w:eastAsia="宋体"/>
                <w:b/>
                <w:i w:val="0"/>
                <w:color w:val="000000"/>
                <w:sz w:val="18"/>
              </w:rPr>
              <w:t>level: steps</w:t>
            </w:r>
          </w:p>
        </w:tc>
        <w:tc>
          <w:tcPr>
            <w:tcW w:w="3312" w:type="dxa"/>
            <w:shd w:val="clear" w:color="auto" w:fill="E5ECF1"/>
            <w:vAlign w:val="center"/>
          </w:tcPr>
          <w:p w14:paraId="165A09FD">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High-minus-low Δ</w:t>
            </w:r>
            <w:r>
              <w:rPr>
                <w:rFonts w:ascii="Times New Roman" w:hAnsi="Times New Roman" w:eastAsia="宋体"/>
                <w:b/>
                <w:i w:val="0"/>
                <w:color w:val="000000"/>
                <w:sz w:val="18"/>
              </w:rPr>
              <w:br w:type="textWrapping"/>
            </w:r>
            <w:r>
              <w:rPr>
                <w:rFonts w:ascii="Times New Roman" w:hAnsi="Times New Roman" w:eastAsia="宋体"/>
                <w:b/>
                <w:i w:val="0"/>
                <w:color w:val="000000"/>
                <w:sz w:val="18"/>
              </w:rPr>
              <w:t>95% CI</w:t>
            </w:r>
          </w:p>
        </w:tc>
        <w:tc>
          <w:tcPr>
            <w:tcW w:w="1224" w:type="dxa"/>
            <w:shd w:val="clear" w:color="auto" w:fill="E5ECF1"/>
            <w:vAlign w:val="center"/>
          </w:tcPr>
          <w:p w14:paraId="3C913FB5">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Pairwise</w:t>
            </w:r>
            <w:r>
              <w:rPr>
                <w:rFonts w:ascii="Times New Roman" w:hAnsi="Times New Roman" w:eastAsia="宋体"/>
                <w:b/>
                <w:i w:val="0"/>
                <w:color w:val="000000"/>
                <w:sz w:val="18"/>
              </w:rPr>
              <w:br w:type="textWrapping"/>
            </w:r>
            <w:r>
              <w:rPr>
                <w:rFonts w:ascii="Times New Roman" w:hAnsi="Times New Roman" w:eastAsia="宋体"/>
                <w:b/>
                <w:i w:val="0"/>
                <w:color w:val="000000"/>
                <w:sz w:val="18"/>
              </w:rPr>
              <w:t>adjusted p</w:t>
            </w:r>
          </w:p>
        </w:tc>
      </w:tr>
      <w:tr w14:paraId="43B384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720" w:type="dxa"/>
            <w:vAlign w:val="center"/>
          </w:tcPr>
          <w:p w14:paraId="59C86185">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RT</w:t>
            </w:r>
          </w:p>
        </w:tc>
        <w:tc>
          <w:tcPr>
            <w:tcW w:w="1224" w:type="dxa"/>
            <w:vAlign w:val="center"/>
          </w:tcPr>
          <w:p w14:paraId="200A868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111.198</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(2,46)</w:t>
            </w:r>
          </w:p>
        </w:tc>
        <w:tc>
          <w:tcPr>
            <w:tcW w:w="1152" w:type="dxa"/>
            <w:vAlign w:val="center"/>
          </w:tcPr>
          <w:p w14:paraId="6408183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2088" w:type="dxa"/>
            <w:vAlign w:val="center"/>
          </w:tcPr>
          <w:p w14:paraId="2E3B9FF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2: 2.742</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4: 4.349</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7: 6.580</w:t>
            </w:r>
          </w:p>
        </w:tc>
        <w:tc>
          <w:tcPr>
            <w:tcW w:w="3312" w:type="dxa"/>
            <w:vAlign w:val="center"/>
          </w:tcPr>
          <w:p w14:paraId="2230118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3.838</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[3.317, 4.358]</w:t>
            </w:r>
          </w:p>
        </w:tc>
        <w:tc>
          <w:tcPr>
            <w:tcW w:w="1224" w:type="dxa"/>
            <w:vAlign w:val="center"/>
          </w:tcPr>
          <w:p w14:paraId="44B20FC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0152BA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720" w:type="dxa"/>
            <w:vAlign w:val="center"/>
          </w:tcPr>
          <w:p w14:paraId="454A4B6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TC</w:t>
            </w:r>
          </w:p>
        </w:tc>
        <w:tc>
          <w:tcPr>
            <w:tcW w:w="1224" w:type="dxa"/>
            <w:vAlign w:val="center"/>
          </w:tcPr>
          <w:p w14:paraId="5996CC1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18.050</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(1,46)</w:t>
            </w:r>
          </w:p>
        </w:tc>
        <w:tc>
          <w:tcPr>
            <w:tcW w:w="1152" w:type="dxa"/>
            <w:vAlign w:val="center"/>
          </w:tcPr>
          <w:p w14:paraId="1681D1F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2088" w:type="dxa"/>
            <w:vAlign w:val="center"/>
          </w:tcPr>
          <w:p w14:paraId="4DB7573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0.2: 4.960</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0.8: 4.154</w:t>
            </w:r>
          </w:p>
        </w:tc>
        <w:tc>
          <w:tcPr>
            <w:tcW w:w="3312" w:type="dxa"/>
            <w:vAlign w:val="center"/>
          </w:tcPr>
          <w:p w14:paraId="00CC158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-0.806</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[-1.187, -0.424]</w:t>
            </w:r>
          </w:p>
        </w:tc>
        <w:tc>
          <w:tcPr>
            <w:tcW w:w="1224" w:type="dxa"/>
            <w:vAlign w:val="center"/>
          </w:tcPr>
          <w:p w14:paraId="5F52A93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0.002</w:t>
            </w:r>
          </w:p>
        </w:tc>
      </w:tr>
      <w:tr w14:paraId="66629F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720" w:type="dxa"/>
            <w:vAlign w:val="center"/>
          </w:tcPr>
          <w:p w14:paraId="457F92FA">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GC</w:t>
            </w:r>
          </w:p>
        </w:tc>
        <w:tc>
          <w:tcPr>
            <w:tcW w:w="1224" w:type="dxa"/>
            <w:vAlign w:val="center"/>
          </w:tcPr>
          <w:p w14:paraId="03BCC28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16.170</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(2,46)</w:t>
            </w:r>
          </w:p>
        </w:tc>
        <w:tc>
          <w:tcPr>
            <w:tcW w:w="1152" w:type="dxa"/>
            <w:vAlign w:val="center"/>
          </w:tcPr>
          <w:p w14:paraId="5EF73FCA">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2088" w:type="dxa"/>
            <w:vAlign w:val="center"/>
          </w:tcPr>
          <w:p w14:paraId="21DAE0E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0.25: 5.329</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0.5: 4.360</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0.75: 3.981</w:t>
            </w:r>
          </w:p>
        </w:tc>
        <w:tc>
          <w:tcPr>
            <w:tcW w:w="3312" w:type="dxa"/>
            <w:vAlign w:val="center"/>
          </w:tcPr>
          <w:p w14:paraId="2149646C">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-1.348</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[-1.831, -0.865]</w:t>
            </w:r>
          </w:p>
        </w:tc>
        <w:tc>
          <w:tcPr>
            <w:tcW w:w="1224" w:type="dxa"/>
            <w:vAlign w:val="center"/>
          </w:tcPr>
          <w:p w14:paraId="4589FBFA">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70ADEB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720" w:type="dxa"/>
            <w:vAlign w:val="center"/>
          </w:tcPr>
          <w:p w14:paraId="031B9DD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DGC</w:t>
            </w:r>
          </w:p>
        </w:tc>
        <w:tc>
          <w:tcPr>
            <w:tcW w:w="1224" w:type="dxa"/>
            <w:vAlign w:val="center"/>
          </w:tcPr>
          <w:p w14:paraId="26C69C0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2.086</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(2,46)</w:t>
            </w:r>
          </w:p>
        </w:tc>
        <w:tc>
          <w:tcPr>
            <w:tcW w:w="1152" w:type="dxa"/>
            <w:vAlign w:val="center"/>
          </w:tcPr>
          <w:p w14:paraId="4B926AFA">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0.272</w:t>
            </w:r>
          </w:p>
        </w:tc>
        <w:tc>
          <w:tcPr>
            <w:tcW w:w="2088" w:type="dxa"/>
            <w:vAlign w:val="center"/>
          </w:tcPr>
          <w:p w14:paraId="2534B1C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 4.412</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0.2: 4.444</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0.4: 4.815</w:t>
            </w:r>
          </w:p>
        </w:tc>
        <w:tc>
          <w:tcPr>
            <w:tcW w:w="3312" w:type="dxa"/>
            <w:vAlign w:val="center"/>
          </w:tcPr>
          <w:p w14:paraId="3BFE3DD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0.403</w:t>
            </w:r>
            <w:r>
              <w:rPr>
                <w:rFonts w:ascii="Times New Roman" w:hAnsi="Times New Roman" w:eastAsia="宋体"/>
                <w:b w:val="0"/>
                <w:i w:val="0"/>
                <w:color w:val="000000"/>
                <w:sz w:val="18"/>
              </w:rPr>
              <w:br w:type="textWrapping"/>
            </w:r>
            <w:r>
              <w:rPr>
                <w:rFonts w:ascii="Times New Roman" w:hAnsi="Times New Roman" w:eastAsia="宋体"/>
                <w:b w:val="0"/>
                <w:i w:val="0"/>
                <w:color w:val="000000"/>
                <w:sz w:val="18"/>
              </w:rPr>
              <w:t>[-0.023, 0.829]</w:t>
            </w:r>
          </w:p>
        </w:tc>
        <w:tc>
          <w:tcPr>
            <w:tcW w:w="1224" w:type="dxa"/>
            <w:vAlign w:val="center"/>
          </w:tcPr>
          <w:p w14:paraId="6AF3AD8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0.505</w:t>
            </w:r>
          </w:p>
        </w:tc>
      </w:tr>
    </w:tbl>
    <w:p w14:paraId="69ACBD4B">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Eight-parameter categorical model; residual df=46. Contrasts: RT 7−2, TC .8−.2, GC .75−.25, DGC .4−0. Pairwise p values retain the 20-comparison Holm family; intervals are pointwise.</w:t>
      </w:r>
    </w:p>
    <w:p w14:paraId="19647FBF">
      <w:pPr>
        <w:pageBreakBefore w:val="0"/>
        <w:widowControl/>
        <w:kinsoku/>
        <w:wordWrap/>
        <w:overflowPunct/>
        <w:topLinePunct w:val="0"/>
        <w:autoSpaceDE/>
        <w:autoSpaceDN/>
        <w:bidi w:val="0"/>
        <w:adjustRightInd/>
        <w:snapToGrid/>
        <w:jc w:val="both"/>
        <w:textAlignment w:val="auto"/>
      </w:pPr>
      <w:r>
        <w:rPr>
          <w:rFonts w:ascii="Times New Roman" w:hAnsi="Times New Roman" w:eastAsia="宋体"/>
          <w:b w:val="0"/>
          <w:i w:val="0"/>
          <w:color w:val="000000"/>
          <w:sz w:val="22"/>
        </w:rPr>
        <w:t>RT=7 rather than 2 corresponds to 3.838 additional steps (95% CI 3.317–4.358). Increasing GC from .25 to .75 corresponds to 1.348 fewer steps, and increasing TC from .20 to .80 to .806 fewer steps. These differences describe observed updates within the simulation. The RT contrast includes the period spent awaiting official publication.</w:t>
      </w:r>
    </w:p>
    <w:p w14:paraId="0E3D1C81">
      <w:pPr>
        <w:pStyle w:val="3"/>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6"/>
        </w:rPr>
        <w:t>6 Cocooning moderation and effect magnitudes</w:t>
      </w:r>
    </w:p>
    <w:p w14:paraId="1821B16E">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Numeric M1, M2 and M3 explain 87.9%, 88.7% and 89.4% of scenario TBU variation. Adding three DGC interactions increases R² by 0.007, but the joint HC3 test is not significant: F(3,46)=1.100, p=0.359. None of the three interaction terms is significant after the retained correction.</w:t>
      </w:r>
    </w:p>
    <w:p w14:paraId="045C5444">
      <w:pPr>
        <w:keepNext/>
        <w:pageBreakBefore w:val="0"/>
        <w:widowControl/>
        <w:kinsoku/>
        <w:wordWrap/>
        <w:overflowPunct/>
        <w:topLinePunct w:val="0"/>
        <w:autoSpaceDE/>
        <w:autoSpaceDN/>
        <w:bidi w:val="0"/>
        <w:adjustRightInd/>
        <w:snapToGrid/>
        <w:spacing w:after="0"/>
        <w:jc w:val="both"/>
        <w:textAlignment w:val="auto"/>
      </w:pPr>
      <w:r>
        <w:drawing>
          <wp:inline distT="0" distB="0" distL="114300" distR="114300">
            <wp:extent cx="6172200" cy="3357880"/>
            <wp:effectExtent l="0" t="0" r="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72200" cy="3358403"/>
                    </a:xfrm>
                    <a:prstGeom prst="rect">
                      <a:avLst/>
                    </a:prstGeom>
                  </pic:spPr>
                </pic:pic>
              </a:graphicData>
            </a:graphic>
          </wp:inline>
        </w:drawing>
      </w:r>
    </w:p>
    <w:p w14:paraId="5D99C2A8">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Figure 4  FB conditional effects and moderation uncertainty. First three panels show RT+1 step, TC .80−.20 and GC+.25 at each DGC level. The forest compares high-minus-low effects between DGC=.4 and 0. All intervals are pointwise HC3 95%; interaction p values retain the six-test Holm family.</w:t>
      </w:r>
    </w:p>
    <w:p w14:paraId="5AEFDF9A">
      <w:pPr>
        <w:pStyle w:val="15"/>
        <w:keepNext/>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Table 4  Centered numeric M3 estimates for FB TBU</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75" w:type="dxa"/>
          <w:bottom w:w="65" w:type="dxa"/>
          <w:right w:w="75" w:type="dxa"/>
        </w:tblCellMar>
      </w:tblPr>
      <w:tblGrid>
        <w:gridCol w:w="1800"/>
        <w:gridCol w:w="1008"/>
        <w:gridCol w:w="3168"/>
        <w:gridCol w:w="1296"/>
        <w:gridCol w:w="1152"/>
        <w:gridCol w:w="1296"/>
      </w:tblGrid>
      <w:tr w14:paraId="7621A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tblHeader/>
          <w:jc w:val="center"/>
        </w:trPr>
        <w:tc>
          <w:tcPr>
            <w:tcW w:w="1800" w:type="dxa"/>
            <w:shd w:val="clear" w:color="auto" w:fill="E5ECF1"/>
            <w:vAlign w:val="center"/>
          </w:tcPr>
          <w:p w14:paraId="17141EB0">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Term</w:t>
            </w:r>
          </w:p>
        </w:tc>
        <w:tc>
          <w:tcPr>
            <w:tcW w:w="1008" w:type="dxa"/>
            <w:shd w:val="clear" w:color="auto" w:fill="E5ECF1"/>
            <w:vAlign w:val="center"/>
          </w:tcPr>
          <w:p w14:paraId="190DDCB3">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b</w:t>
            </w:r>
          </w:p>
        </w:tc>
        <w:tc>
          <w:tcPr>
            <w:tcW w:w="3168" w:type="dxa"/>
            <w:shd w:val="clear" w:color="auto" w:fill="E5ECF1"/>
            <w:vAlign w:val="center"/>
          </w:tcPr>
          <w:p w14:paraId="0939821E">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95% CI</w:t>
            </w:r>
          </w:p>
        </w:tc>
        <w:tc>
          <w:tcPr>
            <w:tcW w:w="1296" w:type="dxa"/>
            <w:shd w:val="clear" w:color="auto" w:fill="E5ECF1"/>
            <w:vAlign w:val="center"/>
          </w:tcPr>
          <w:p w14:paraId="13367290">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t(46 df)</w:t>
            </w:r>
          </w:p>
        </w:tc>
        <w:tc>
          <w:tcPr>
            <w:tcW w:w="1152" w:type="dxa"/>
            <w:shd w:val="clear" w:color="auto" w:fill="E5ECF1"/>
            <w:vAlign w:val="center"/>
          </w:tcPr>
          <w:p w14:paraId="5EF6D830">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Raw p</w:t>
            </w:r>
          </w:p>
        </w:tc>
        <w:tc>
          <w:tcPr>
            <w:tcW w:w="1296" w:type="dxa"/>
            <w:shd w:val="clear" w:color="auto" w:fill="E5ECF1"/>
            <w:vAlign w:val="center"/>
          </w:tcPr>
          <w:p w14:paraId="60011C0A">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Adjusted p</w:t>
            </w:r>
          </w:p>
        </w:tc>
      </w:tr>
      <w:tr w14:paraId="0FAA64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800" w:type="dxa"/>
            <w:vAlign w:val="center"/>
          </w:tcPr>
          <w:p w14:paraId="4AAB0C5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RT</w:t>
            </w:r>
          </w:p>
        </w:tc>
        <w:tc>
          <w:tcPr>
            <w:tcW w:w="1008" w:type="dxa"/>
            <w:vAlign w:val="center"/>
          </w:tcPr>
          <w:p w14:paraId="036B3D2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0.766</w:t>
            </w:r>
          </w:p>
        </w:tc>
        <w:tc>
          <w:tcPr>
            <w:tcW w:w="3168" w:type="dxa"/>
            <w:vAlign w:val="center"/>
          </w:tcPr>
          <w:p w14:paraId="6663860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[0.664, 0.867]</w:t>
            </w:r>
          </w:p>
        </w:tc>
        <w:tc>
          <w:tcPr>
            <w:tcW w:w="1296" w:type="dxa"/>
            <w:vAlign w:val="center"/>
          </w:tcPr>
          <w:p w14:paraId="22DFC83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15.222</w:t>
            </w:r>
          </w:p>
        </w:tc>
        <w:tc>
          <w:tcPr>
            <w:tcW w:w="1152" w:type="dxa"/>
            <w:vAlign w:val="center"/>
          </w:tcPr>
          <w:p w14:paraId="1A16041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296" w:type="dxa"/>
            <w:vAlign w:val="center"/>
          </w:tcPr>
          <w:p w14:paraId="3F4769B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5410AF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800" w:type="dxa"/>
            <w:vAlign w:val="center"/>
          </w:tcPr>
          <w:p w14:paraId="2374142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TC</w:t>
            </w:r>
          </w:p>
        </w:tc>
        <w:tc>
          <w:tcPr>
            <w:tcW w:w="1008" w:type="dxa"/>
            <w:vAlign w:val="center"/>
          </w:tcPr>
          <w:p w14:paraId="5D4ACD5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-1.343</w:t>
            </w:r>
          </w:p>
        </w:tc>
        <w:tc>
          <w:tcPr>
            <w:tcW w:w="3168" w:type="dxa"/>
            <w:vAlign w:val="center"/>
          </w:tcPr>
          <w:p w14:paraId="6BE23E9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[-1.979, -0.707]</w:t>
            </w:r>
          </w:p>
        </w:tc>
        <w:tc>
          <w:tcPr>
            <w:tcW w:w="1296" w:type="dxa"/>
            <w:vAlign w:val="center"/>
          </w:tcPr>
          <w:p w14:paraId="2D126D5C">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-4.249</w:t>
            </w:r>
          </w:p>
        </w:tc>
        <w:tc>
          <w:tcPr>
            <w:tcW w:w="1152" w:type="dxa"/>
            <w:vAlign w:val="center"/>
          </w:tcPr>
          <w:p w14:paraId="7028FB2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296" w:type="dxa"/>
            <w:vAlign w:val="center"/>
          </w:tcPr>
          <w:p w14:paraId="18EA4829">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0EA5F7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800" w:type="dxa"/>
            <w:vAlign w:val="center"/>
          </w:tcPr>
          <w:p w14:paraId="0E66F39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GC</w:t>
            </w:r>
          </w:p>
        </w:tc>
        <w:tc>
          <w:tcPr>
            <w:tcW w:w="1008" w:type="dxa"/>
            <w:vAlign w:val="center"/>
          </w:tcPr>
          <w:p w14:paraId="6014BF55">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-2.695</w:t>
            </w:r>
          </w:p>
        </w:tc>
        <w:tc>
          <w:tcPr>
            <w:tcW w:w="3168" w:type="dxa"/>
            <w:vAlign w:val="center"/>
          </w:tcPr>
          <w:p w14:paraId="00E0EF5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[-3.678, -1.713]</w:t>
            </w:r>
          </w:p>
        </w:tc>
        <w:tc>
          <w:tcPr>
            <w:tcW w:w="1296" w:type="dxa"/>
            <w:vAlign w:val="center"/>
          </w:tcPr>
          <w:p w14:paraId="5D8B247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-5.522</w:t>
            </w:r>
          </w:p>
        </w:tc>
        <w:tc>
          <w:tcPr>
            <w:tcW w:w="1152" w:type="dxa"/>
            <w:vAlign w:val="center"/>
          </w:tcPr>
          <w:p w14:paraId="035C657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296" w:type="dxa"/>
            <w:vAlign w:val="center"/>
          </w:tcPr>
          <w:p w14:paraId="6414A76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5BDD32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800" w:type="dxa"/>
            <w:vAlign w:val="center"/>
          </w:tcPr>
          <w:p w14:paraId="63DF94A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DGC</w:t>
            </w:r>
          </w:p>
        </w:tc>
        <w:tc>
          <w:tcPr>
            <w:tcW w:w="1008" w:type="dxa"/>
            <w:vAlign w:val="center"/>
          </w:tcPr>
          <w:p w14:paraId="6F32BF9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1.007</w:t>
            </w:r>
          </w:p>
        </w:tc>
        <w:tc>
          <w:tcPr>
            <w:tcW w:w="3168" w:type="dxa"/>
            <w:vAlign w:val="center"/>
          </w:tcPr>
          <w:p w14:paraId="6916FD6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[-0.090, 2.105]</w:t>
            </w:r>
          </w:p>
        </w:tc>
        <w:tc>
          <w:tcPr>
            <w:tcW w:w="1296" w:type="dxa"/>
            <w:vAlign w:val="center"/>
          </w:tcPr>
          <w:p w14:paraId="1C7D538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1.847</w:t>
            </w:r>
          </w:p>
        </w:tc>
        <w:tc>
          <w:tcPr>
            <w:tcW w:w="1152" w:type="dxa"/>
            <w:vAlign w:val="center"/>
          </w:tcPr>
          <w:p w14:paraId="6DB99EA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0.071</w:t>
            </w:r>
          </w:p>
        </w:tc>
        <w:tc>
          <w:tcPr>
            <w:tcW w:w="1296" w:type="dxa"/>
            <w:vAlign w:val="center"/>
          </w:tcPr>
          <w:p w14:paraId="26D8D99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0.142</w:t>
            </w:r>
          </w:p>
        </w:tc>
      </w:tr>
      <w:tr w14:paraId="3A8533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800" w:type="dxa"/>
            <w:vAlign w:val="center"/>
          </w:tcPr>
          <w:p w14:paraId="68E431E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RT × DGC</w:t>
            </w:r>
          </w:p>
        </w:tc>
        <w:tc>
          <w:tcPr>
            <w:tcW w:w="1008" w:type="dxa"/>
            <w:vAlign w:val="center"/>
          </w:tcPr>
          <w:p w14:paraId="612ADC0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0.162</w:t>
            </w:r>
          </w:p>
        </w:tc>
        <w:tc>
          <w:tcPr>
            <w:tcW w:w="3168" w:type="dxa"/>
            <w:vAlign w:val="center"/>
          </w:tcPr>
          <w:p w14:paraId="2540BE2C">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[-0.391, 0.715]</w:t>
            </w:r>
          </w:p>
        </w:tc>
        <w:tc>
          <w:tcPr>
            <w:tcW w:w="1296" w:type="dxa"/>
            <w:vAlign w:val="center"/>
          </w:tcPr>
          <w:p w14:paraId="65249AC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0.589</w:t>
            </w:r>
          </w:p>
        </w:tc>
        <w:tc>
          <w:tcPr>
            <w:tcW w:w="1152" w:type="dxa"/>
            <w:vAlign w:val="center"/>
          </w:tcPr>
          <w:p w14:paraId="637A9EF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0.559</w:t>
            </w:r>
          </w:p>
        </w:tc>
        <w:tc>
          <w:tcPr>
            <w:tcW w:w="1296" w:type="dxa"/>
            <w:vAlign w:val="center"/>
          </w:tcPr>
          <w:p w14:paraId="2478F86A">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1.000</w:t>
            </w:r>
          </w:p>
        </w:tc>
      </w:tr>
      <w:tr w14:paraId="760073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800" w:type="dxa"/>
            <w:vAlign w:val="center"/>
          </w:tcPr>
          <w:p w14:paraId="0AFE7DA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TC × DGC</w:t>
            </w:r>
          </w:p>
        </w:tc>
        <w:tc>
          <w:tcPr>
            <w:tcW w:w="1008" w:type="dxa"/>
            <w:vAlign w:val="center"/>
          </w:tcPr>
          <w:p w14:paraId="54A8034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1.288</w:t>
            </w:r>
          </w:p>
        </w:tc>
        <w:tc>
          <w:tcPr>
            <w:tcW w:w="3168" w:type="dxa"/>
            <w:vAlign w:val="center"/>
          </w:tcPr>
          <w:p w14:paraId="6BCDD0C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[-2.371, 4.946]</w:t>
            </w:r>
          </w:p>
        </w:tc>
        <w:tc>
          <w:tcPr>
            <w:tcW w:w="1296" w:type="dxa"/>
            <w:vAlign w:val="center"/>
          </w:tcPr>
          <w:p w14:paraId="1C1DB835">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0.709</w:t>
            </w:r>
          </w:p>
        </w:tc>
        <w:tc>
          <w:tcPr>
            <w:tcW w:w="1152" w:type="dxa"/>
            <w:vAlign w:val="center"/>
          </w:tcPr>
          <w:p w14:paraId="6855AB8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0.482</w:t>
            </w:r>
          </w:p>
        </w:tc>
        <w:tc>
          <w:tcPr>
            <w:tcW w:w="1296" w:type="dxa"/>
            <w:vAlign w:val="center"/>
          </w:tcPr>
          <w:p w14:paraId="764D1EC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1.000</w:t>
            </w:r>
          </w:p>
        </w:tc>
      </w:tr>
      <w:tr w14:paraId="459753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1800" w:type="dxa"/>
            <w:vAlign w:val="center"/>
          </w:tcPr>
          <w:p w14:paraId="226EE1D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GC × DGC</w:t>
            </w:r>
          </w:p>
        </w:tc>
        <w:tc>
          <w:tcPr>
            <w:tcW w:w="1008" w:type="dxa"/>
            <w:vAlign w:val="center"/>
          </w:tcPr>
          <w:p w14:paraId="6802155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-4.004</w:t>
            </w:r>
          </w:p>
        </w:tc>
        <w:tc>
          <w:tcPr>
            <w:tcW w:w="3168" w:type="dxa"/>
            <w:vAlign w:val="center"/>
          </w:tcPr>
          <w:p w14:paraId="358D0FF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[-9.694, 1.686]</w:t>
            </w:r>
          </w:p>
        </w:tc>
        <w:tc>
          <w:tcPr>
            <w:tcW w:w="1296" w:type="dxa"/>
            <w:vAlign w:val="center"/>
          </w:tcPr>
          <w:p w14:paraId="214F032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-1.416</w:t>
            </w:r>
          </w:p>
        </w:tc>
        <w:tc>
          <w:tcPr>
            <w:tcW w:w="1152" w:type="dxa"/>
            <w:vAlign w:val="center"/>
          </w:tcPr>
          <w:p w14:paraId="4281E64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0.163</w:t>
            </w:r>
          </w:p>
        </w:tc>
        <w:tc>
          <w:tcPr>
            <w:tcW w:w="1296" w:type="dxa"/>
            <w:vAlign w:val="center"/>
          </w:tcPr>
          <w:p w14:paraId="1094E5D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0.817</w:t>
            </w:r>
          </w:p>
        </w:tc>
      </w:tr>
    </w:tbl>
    <w:p w14:paraId="040A6075">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N=54. Main slopes evaluated at DGC=.20 and other centered design means. TC/GC/DGC coefficients are per 1.0-unit change. Main slopes retain the eight-test Holm family; interactions the six-test family. Categorical F and numeric slope tests have different null hypotheses.</w:t>
      </w:r>
    </w:p>
    <w:p w14:paraId="0F92F3FB">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The GC .75−.25 effect differs by-0.801 steps between DGC=.4 and 0 (95% CI[-1.939, 0.337]; adjusted p=0.817). Its interval includes zero. RT and TC moderation are also uncertain, and fully categorical interaction tests yield no corrected evidence. Separate significance within one DGC stratum does not establish a difference between strata.</w:t>
      </w:r>
    </w:p>
    <w:p w14:paraId="7EAA50EC">
      <w:pPr>
        <w:pageBreakBefore w:val="0"/>
        <w:widowControl/>
        <w:kinsoku/>
        <w:wordWrap/>
        <w:overflowPunct/>
        <w:topLinePunct w:val="0"/>
        <w:autoSpaceDE/>
        <w:autoSpaceDN/>
        <w:bidi w:val="0"/>
        <w:adjustRightInd/>
        <w:snapToGrid/>
        <w:jc w:val="both"/>
        <w:textAlignment w:val="auto"/>
      </w:pPr>
      <w:r>
        <w:br w:type="page"/>
      </w:r>
    </w:p>
    <w:p w14:paraId="55A20C78">
      <w:pPr>
        <w:pStyle w:val="3"/>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6"/>
        </w:rPr>
        <w:t>7 Pairwise comparisons and timing interpretation</w:t>
      </w:r>
    </w:p>
    <w:p w14:paraId="25A010BA">
      <w:pPr>
        <w:pStyle w:val="15"/>
        <w:keepNext/>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Table 5  All pairwise level contrasts for FB TBU</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75" w:type="dxa"/>
          <w:bottom w:w="65" w:type="dxa"/>
          <w:right w:w="75" w:type="dxa"/>
        </w:tblCellMar>
      </w:tblPr>
      <w:tblGrid>
        <w:gridCol w:w="864"/>
        <w:gridCol w:w="1656"/>
        <w:gridCol w:w="1440"/>
        <w:gridCol w:w="3024"/>
        <w:gridCol w:w="1296"/>
        <w:gridCol w:w="1440"/>
      </w:tblGrid>
      <w:tr w14:paraId="11214D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tblHeader/>
          <w:jc w:val="center"/>
        </w:trPr>
        <w:tc>
          <w:tcPr>
            <w:tcW w:w="864" w:type="dxa"/>
            <w:shd w:val="clear" w:color="auto" w:fill="E5ECF1"/>
            <w:vAlign w:val="center"/>
          </w:tcPr>
          <w:p w14:paraId="4945FC6A">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Factor</w:t>
            </w:r>
          </w:p>
        </w:tc>
        <w:tc>
          <w:tcPr>
            <w:tcW w:w="1656" w:type="dxa"/>
            <w:shd w:val="clear" w:color="auto" w:fill="E5ECF1"/>
            <w:vAlign w:val="center"/>
          </w:tcPr>
          <w:p w14:paraId="792DFA4A">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High−low</w:t>
            </w:r>
          </w:p>
        </w:tc>
        <w:tc>
          <w:tcPr>
            <w:tcW w:w="1440" w:type="dxa"/>
            <w:shd w:val="clear" w:color="auto" w:fill="E5ECF1"/>
            <w:vAlign w:val="center"/>
          </w:tcPr>
          <w:p w14:paraId="660D6D6F">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Difference</w:t>
            </w:r>
            <w:r>
              <w:rPr>
                <w:rFonts w:ascii="Times New Roman" w:hAnsi="Times New Roman" w:eastAsia="宋体"/>
                <w:b/>
                <w:i w:val="0"/>
                <w:color w:val="000000"/>
                <w:sz w:val="18"/>
              </w:rPr>
              <w:br w:type="textWrapping"/>
            </w:r>
            <w:r>
              <w:rPr>
                <w:rFonts w:ascii="Times New Roman" w:hAnsi="Times New Roman" w:eastAsia="宋体"/>
                <w:b/>
                <w:i w:val="0"/>
                <w:color w:val="000000"/>
                <w:sz w:val="18"/>
              </w:rPr>
              <w:t>steps</w:t>
            </w:r>
          </w:p>
        </w:tc>
        <w:tc>
          <w:tcPr>
            <w:tcW w:w="3024" w:type="dxa"/>
            <w:shd w:val="clear" w:color="auto" w:fill="E5ECF1"/>
            <w:vAlign w:val="center"/>
          </w:tcPr>
          <w:p w14:paraId="5FDBCDC2">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95% CI</w:t>
            </w:r>
          </w:p>
        </w:tc>
        <w:tc>
          <w:tcPr>
            <w:tcW w:w="1296" w:type="dxa"/>
            <w:shd w:val="clear" w:color="auto" w:fill="E5ECF1"/>
            <w:vAlign w:val="center"/>
          </w:tcPr>
          <w:p w14:paraId="15AE8C24">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Raw p</w:t>
            </w:r>
          </w:p>
        </w:tc>
        <w:tc>
          <w:tcPr>
            <w:tcW w:w="1440" w:type="dxa"/>
            <w:shd w:val="clear" w:color="auto" w:fill="E5ECF1"/>
            <w:vAlign w:val="center"/>
          </w:tcPr>
          <w:p w14:paraId="6B95A29D">
            <w:pPr>
              <w:keepNext/>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i w:val="0"/>
                <w:color w:val="000000"/>
                <w:sz w:val="18"/>
              </w:rPr>
              <w:t>Adjusted p</w:t>
            </w:r>
          </w:p>
        </w:tc>
      </w:tr>
      <w:tr w14:paraId="4D55A4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3D49ECA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RT</w:t>
            </w:r>
          </w:p>
        </w:tc>
        <w:tc>
          <w:tcPr>
            <w:tcW w:w="1656" w:type="dxa"/>
            <w:vAlign w:val="center"/>
          </w:tcPr>
          <w:p w14:paraId="3B20C8F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4 − 2</w:t>
            </w:r>
          </w:p>
        </w:tc>
        <w:tc>
          <w:tcPr>
            <w:tcW w:w="1440" w:type="dxa"/>
            <w:vAlign w:val="center"/>
          </w:tcPr>
          <w:p w14:paraId="246E3AB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1.607</w:t>
            </w:r>
          </w:p>
        </w:tc>
        <w:tc>
          <w:tcPr>
            <w:tcW w:w="3024" w:type="dxa"/>
            <w:vAlign w:val="center"/>
          </w:tcPr>
          <w:p w14:paraId="4D001524">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[1.174, 2.040]</w:t>
            </w:r>
          </w:p>
        </w:tc>
        <w:tc>
          <w:tcPr>
            <w:tcW w:w="1296" w:type="dxa"/>
            <w:vAlign w:val="center"/>
          </w:tcPr>
          <w:p w14:paraId="1666558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440" w:type="dxa"/>
            <w:vAlign w:val="center"/>
          </w:tcPr>
          <w:p w14:paraId="548FFCB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5F6766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05521DE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RT</w:t>
            </w:r>
          </w:p>
        </w:tc>
        <w:tc>
          <w:tcPr>
            <w:tcW w:w="1656" w:type="dxa"/>
            <w:vAlign w:val="center"/>
          </w:tcPr>
          <w:p w14:paraId="5D7065D9">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7 − 2</w:t>
            </w:r>
          </w:p>
        </w:tc>
        <w:tc>
          <w:tcPr>
            <w:tcW w:w="1440" w:type="dxa"/>
            <w:vAlign w:val="center"/>
          </w:tcPr>
          <w:p w14:paraId="32B6B11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3.838</w:t>
            </w:r>
          </w:p>
        </w:tc>
        <w:tc>
          <w:tcPr>
            <w:tcW w:w="3024" w:type="dxa"/>
            <w:vAlign w:val="center"/>
          </w:tcPr>
          <w:p w14:paraId="72156E8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[3.317, 4.358]</w:t>
            </w:r>
          </w:p>
        </w:tc>
        <w:tc>
          <w:tcPr>
            <w:tcW w:w="1296" w:type="dxa"/>
            <w:vAlign w:val="center"/>
          </w:tcPr>
          <w:p w14:paraId="703CB3A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440" w:type="dxa"/>
            <w:vAlign w:val="center"/>
          </w:tcPr>
          <w:p w14:paraId="1FB9D42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36EF13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5865F36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RT</w:t>
            </w:r>
          </w:p>
        </w:tc>
        <w:tc>
          <w:tcPr>
            <w:tcW w:w="1656" w:type="dxa"/>
            <w:vAlign w:val="center"/>
          </w:tcPr>
          <w:p w14:paraId="148EAD09">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7 − 4</w:t>
            </w:r>
          </w:p>
        </w:tc>
        <w:tc>
          <w:tcPr>
            <w:tcW w:w="1440" w:type="dxa"/>
            <w:vAlign w:val="center"/>
          </w:tcPr>
          <w:p w14:paraId="7614A41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2.231</w:t>
            </w:r>
          </w:p>
        </w:tc>
        <w:tc>
          <w:tcPr>
            <w:tcW w:w="3024" w:type="dxa"/>
            <w:vAlign w:val="center"/>
          </w:tcPr>
          <w:p w14:paraId="4EDB37D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[1.786, 2.675]</w:t>
            </w:r>
          </w:p>
        </w:tc>
        <w:tc>
          <w:tcPr>
            <w:tcW w:w="1296" w:type="dxa"/>
            <w:vAlign w:val="center"/>
          </w:tcPr>
          <w:p w14:paraId="79944E5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440" w:type="dxa"/>
            <w:vAlign w:val="center"/>
          </w:tcPr>
          <w:p w14:paraId="2F9F668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7320B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69D55CA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TC</w:t>
            </w:r>
          </w:p>
        </w:tc>
        <w:tc>
          <w:tcPr>
            <w:tcW w:w="1656" w:type="dxa"/>
            <w:vAlign w:val="center"/>
          </w:tcPr>
          <w:p w14:paraId="256F133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0.8 − 0.2</w:t>
            </w:r>
          </w:p>
        </w:tc>
        <w:tc>
          <w:tcPr>
            <w:tcW w:w="1440" w:type="dxa"/>
            <w:vAlign w:val="center"/>
          </w:tcPr>
          <w:p w14:paraId="6F174B4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-0.806</w:t>
            </w:r>
          </w:p>
        </w:tc>
        <w:tc>
          <w:tcPr>
            <w:tcW w:w="3024" w:type="dxa"/>
            <w:vAlign w:val="center"/>
          </w:tcPr>
          <w:p w14:paraId="1BD05A2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[-1.187, -0.424]</w:t>
            </w:r>
          </w:p>
        </w:tc>
        <w:tc>
          <w:tcPr>
            <w:tcW w:w="1296" w:type="dxa"/>
            <w:vAlign w:val="center"/>
          </w:tcPr>
          <w:p w14:paraId="534FE69C">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440" w:type="dxa"/>
            <w:vAlign w:val="center"/>
          </w:tcPr>
          <w:p w14:paraId="6275DD4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0.002</w:t>
            </w:r>
          </w:p>
        </w:tc>
      </w:tr>
      <w:tr w14:paraId="147E2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48B7B21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GC</w:t>
            </w:r>
          </w:p>
        </w:tc>
        <w:tc>
          <w:tcPr>
            <w:tcW w:w="1656" w:type="dxa"/>
            <w:vAlign w:val="center"/>
          </w:tcPr>
          <w:p w14:paraId="1821DC9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0.5 − 0.25</w:t>
            </w:r>
          </w:p>
        </w:tc>
        <w:tc>
          <w:tcPr>
            <w:tcW w:w="1440" w:type="dxa"/>
            <w:vAlign w:val="center"/>
          </w:tcPr>
          <w:p w14:paraId="5CB5596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-0.969</w:t>
            </w:r>
          </w:p>
        </w:tc>
        <w:tc>
          <w:tcPr>
            <w:tcW w:w="3024" w:type="dxa"/>
            <w:vAlign w:val="center"/>
          </w:tcPr>
          <w:p w14:paraId="0D716BC5">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[-1.507, -0.430]</w:t>
            </w:r>
          </w:p>
        </w:tc>
        <w:tc>
          <w:tcPr>
            <w:tcW w:w="1296" w:type="dxa"/>
            <w:vAlign w:val="center"/>
          </w:tcPr>
          <w:p w14:paraId="5EA94D3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440" w:type="dxa"/>
            <w:vAlign w:val="center"/>
          </w:tcPr>
          <w:p w14:paraId="4B4EEFA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0.009</w:t>
            </w:r>
          </w:p>
        </w:tc>
      </w:tr>
      <w:tr w14:paraId="4820DF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52A4E30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GC</w:t>
            </w:r>
          </w:p>
        </w:tc>
        <w:tc>
          <w:tcPr>
            <w:tcW w:w="1656" w:type="dxa"/>
            <w:vAlign w:val="center"/>
          </w:tcPr>
          <w:p w14:paraId="22212FD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0.75 − 0.25</w:t>
            </w:r>
          </w:p>
        </w:tc>
        <w:tc>
          <w:tcPr>
            <w:tcW w:w="1440" w:type="dxa"/>
            <w:vAlign w:val="center"/>
          </w:tcPr>
          <w:p w14:paraId="62B4FC4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-1.348</w:t>
            </w:r>
          </w:p>
        </w:tc>
        <w:tc>
          <w:tcPr>
            <w:tcW w:w="3024" w:type="dxa"/>
            <w:vAlign w:val="center"/>
          </w:tcPr>
          <w:p w14:paraId="687F815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[-1.831, -0.865]</w:t>
            </w:r>
          </w:p>
        </w:tc>
        <w:tc>
          <w:tcPr>
            <w:tcW w:w="1296" w:type="dxa"/>
            <w:vAlign w:val="center"/>
          </w:tcPr>
          <w:p w14:paraId="27AF7A3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c>
          <w:tcPr>
            <w:tcW w:w="1440" w:type="dxa"/>
            <w:vAlign w:val="center"/>
          </w:tcPr>
          <w:p w14:paraId="419C6BC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&lt;.001</w:t>
            </w:r>
          </w:p>
        </w:tc>
      </w:tr>
      <w:tr w14:paraId="62D505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248FB05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GC</w:t>
            </w:r>
          </w:p>
        </w:tc>
        <w:tc>
          <w:tcPr>
            <w:tcW w:w="1656" w:type="dxa"/>
            <w:vAlign w:val="center"/>
          </w:tcPr>
          <w:p w14:paraId="48A1F9C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0.75 − 0.5</w:t>
            </w:r>
          </w:p>
        </w:tc>
        <w:tc>
          <w:tcPr>
            <w:tcW w:w="1440" w:type="dxa"/>
            <w:vAlign w:val="center"/>
          </w:tcPr>
          <w:p w14:paraId="11EC9F0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-0.379</w:t>
            </w:r>
          </w:p>
        </w:tc>
        <w:tc>
          <w:tcPr>
            <w:tcW w:w="3024" w:type="dxa"/>
            <w:vAlign w:val="center"/>
          </w:tcPr>
          <w:p w14:paraId="219BDAC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[-0.743, -0.015]</w:t>
            </w:r>
          </w:p>
        </w:tc>
        <w:tc>
          <w:tcPr>
            <w:tcW w:w="1296" w:type="dxa"/>
            <w:vAlign w:val="center"/>
          </w:tcPr>
          <w:p w14:paraId="56AB5B59">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0.042</w:t>
            </w:r>
          </w:p>
        </w:tc>
        <w:tc>
          <w:tcPr>
            <w:tcW w:w="1440" w:type="dxa"/>
            <w:vAlign w:val="center"/>
          </w:tcPr>
          <w:p w14:paraId="28541108">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0.416</w:t>
            </w:r>
          </w:p>
        </w:tc>
      </w:tr>
      <w:tr w14:paraId="03A0C3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556EBB3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DGC</w:t>
            </w:r>
          </w:p>
        </w:tc>
        <w:tc>
          <w:tcPr>
            <w:tcW w:w="1656" w:type="dxa"/>
            <w:vAlign w:val="center"/>
          </w:tcPr>
          <w:p w14:paraId="4DA808FA">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0.2 − 0</w:t>
            </w:r>
          </w:p>
        </w:tc>
        <w:tc>
          <w:tcPr>
            <w:tcW w:w="1440" w:type="dxa"/>
            <w:vAlign w:val="center"/>
          </w:tcPr>
          <w:p w14:paraId="549EF27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0.033</w:t>
            </w:r>
          </w:p>
        </w:tc>
        <w:tc>
          <w:tcPr>
            <w:tcW w:w="3024" w:type="dxa"/>
            <w:vAlign w:val="center"/>
          </w:tcPr>
          <w:p w14:paraId="228A7DD3">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[-0.450, 0.516]</w:t>
            </w:r>
          </w:p>
        </w:tc>
        <w:tc>
          <w:tcPr>
            <w:tcW w:w="1296" w:type="dxa"/>
            <w:vAlign w:val="center"/>
          </w:tcPr>
          <w:p w14:paraId="02C4E5D1">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0.892</w:t>
            </w:r>
          </w:p>
        </w:tc>
        <w:tc>
          <w:tcPr>
            <w:tcW w:w="1440" w:type="dxa"/>
            <w:vAlign w:val="center"/>
          </w:tcPr>
          <w:p w14:paraId="12BDA1D2">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1.000</w:t>
            </w:r>
          </w:p>
        </w:tc>
      </w:tr>
      <w:tr w14:paraId="42BE5E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448AFDEE">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DGC</w:t>
            </w:r>
          </w:p>
        </w:tc>
        <w:tc>
          <w:tcPr>
            <w:tcW w:w="1656" w:type="dxa"/>
            <w:vAlign w:val="center"/>
          </w:tcPr>
          <w:p w14:paraId="367173A5">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0.4 − 0</w:t>
            </w:r>
          </w:p>
        </w:tc>
        <w:tc>
          <w:tcPr>
            <w:tcW w:w="1440" w:type="dxa"/>
            <w:vAlign w:val="center"/>
          </w:tcPr>
          <w:p w14:paraId="5B3B9360">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0.403</w:t>
            </w:r>
          </w:p>
        </w:tc>
        <w:tc>
          <w:tcPr>
            <w:tcW w:w="3024" w:type="dxa"/>
            <w:vAlign w:val="center"/>
          </w:tcPr>
          <w:p w14:paraId="69B302FD">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[-0.023, 0.829]</w:t>
            </w:r>
          </w:p>
        </w:tc>
        <w:tc>
          <w:tcPr>
            <w:tcW w:w="1296" w:type="dxa"/>
            <w:vAlign w:val="center"/>
          </w:tcPr>
          <w:p w14:paraId="2486553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0.063</w:t>
            </w:r>
          </w:p>
        </w:tc>
        <w:tc>
          <w:tcPr>
            <w:tcW w:w="1440" w:type="dxa"/>
            <w:vAlign w:val="center"/>
          </w:tcPr>
          <w:p w14:paraId="45F7F85C">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0.505</w:t>
            </w:r>
          </w:p>
        </w:tc>
      </w:tr>
      <w:tr w14:paraId="1545EF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75" w:type="dxa"/>
            <w:bottom w:w="65" w:type="dxa"/>
            <w:right w:w="75" w:type="dxa"/>
          </w:tblCellMar>
        </w:tblPrEx>
        <w:trPr>
          <w:cantSplit/>
          <w:jc w:val="center"/>
        </w:trPr>
        <w:tc>
          <w:tcPr>
            <w:tcW w:w="864" w:type="dxa"/>
            <w:vAlign w:val="center"/>
          </w:tcPr>
          <w:p w14:paraId="5EBAABE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DGC</w:t>
            </w:r>
          </w:p>
        </w:tc>
        <w:tc>
          <w:tcPr>
            <w:tcW w:w="1656" w:type="dxa"/>
            <w:vAlign w:val="center"/>
          </w:tcPr>
          <w:p w14:paraId="71BC2097">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0.4 − 0.2</w:t>
            </w:r>
          </w:p>
        </w:tc>
        <w:tc>
          <w:tcPr>
            <w:tcW w:w="1440" w:type="dxa"/>
            <w:vAlign w:val="center"/>
          </w:tcPr>
          <w:p w14:paraId="6F9B5C56">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0.370</w:t>
            </w:r>
          </w:p>
        </w:tc>
        <w:tc>
          <w:tcPr>
            <w:tcW w:w="3024" w:type="dxa"/>
            <w:vAlign w:val="center"/>
          </w:tcPr>
          <w:p w14:paraId="4225DEFF">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[-0.121, 0.861]</w:t>
            </w:r>
          </w:p>
        </w:tc>
        <w:tc>
          <w:tcPr>
            <w:tcW w:w="1296" w:type="dxa"/>
            <w:vAlign w:val="center"/>
          </w:tcPr>
          <w:p w14:paraId="596D09EC">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0.136</w:t>
            </w:r>
          </w:p>
        </w:tc>
        <w:tc>
          <w:tcPr>
            <w:tcW w:w="1440" w:type="dxa"/>
            <w:vAlign w:val="center"/>
          </w:tcPr>
          <w:p w14:paraId="54BF313B">
            <w:pPr>
              <w:pageBreakBefore w:val="0"/>
              <w:widowControl/>
              <w:kinsoku/>
              <w:wordWrap/>
              <w:overflowPunct/>
              <w:topLinePunct w:val="0"/>
              <w:autoSpaceDE/>
              <w:autoSpaceDN/>
              <w:bidi w:val="0"/>
              <w:adjustRightInd/>
              <w:snapToGrid/>
              <w:spacing w:before="0" w:after="0" w:line="245" w:lineRule="auto"/>
              <w:jc w:val="both"/>
              <w:textAlignment w:val="auto"/>
            </w:pPr>
            <w:r>
              <w:rPr>
                <w:rFonts w:ascii="Times New Roman" w:hAnsi="Times New Roman" w:eastAsia="宋体"/>
                <w:b w:val="0"/>
                <w:i w:val="0"/>
                <w:color w:val="000000"/>
                <w:sz w:val="18"/>
              </w:rPr>
              <w:t>0.951</w:t>
            </w:r>
          </w:p>
        </w:tc>
      </w:tr>
    </w:tbl>
    <w:p w14:paraId="08C33737">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All ten FB contrasts are reported; adjusted p retains the previously tested 20-comparison family. Negative values indicate shorter TBU at the higher factor level. Confidence intervals are pointwise.</w:t>
      </w:r>
    </w:p>
    <w:p w14:paraId="044A9BA3">
      <w:pPr>
        <w:keepNext/>
        <w:pageBreakBefore w:val="0"/>
        <w:widowControl/>
        <w:kinsoku/>
        <w:wordWrap/>
        <w:overflowPunct/>
        <w:topLinePunct w:val="0"/>
        <w:autoSpaceDE/>
        <w:autoSpaceDN/>
        <w:bidi w:val="0"/>
        <w:adjustRightInd/>
        <w:snapToGrid/>
        <w:spacing w:after="0"/>
        <w:jc w:val="both"/>
        <w:textAlignment w:val="auto"/>
      </w:pPr>
      <w:r>
        <w:drawing>
          <wp:inline distT="0" distB="0" distL="114300" distR="114300">
            <wp:extent cx="6080760" cy="1072515"/>
            <wp:effectExtent l="0" t="0" r="1524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080760" cy="1073075"/>
                    </a:xfrm>
                    <a:prstGeom prst="rect">
                      <a:avLst/>
                    </a:prstGeom>
                  </pic:spPr>
                </pic:pic>
              </a:graphicData>
            </a:graphic>
          </wp:inline>
        </w:drawing>
      </w:r>
    </w:p>
    <w:p w14:paraId="5FF1787F">
      <w:pPr>
        <w:pStyle w:val="15"/>
        <w:pageBreakBefore w:val="0"/>
        <w:widowControl/>
        <w:kinsoku/>
        <w:wordWrap/>
        <w:overflowPunct/>
        <w:topLinePunct w:val="0"/>
        <w:autoSpaceDE/>
        <w:autoSpaceDN/>
        <w:bidi w:val="0"/>
        <w:adjustRightInd/>
        <w:snapToGrid/>
        <w:spacing w:before="0" w:after="100" w:line="240" w:lineRule="auto"/>
        <w:jc w:val="both"/>
        <w:textAlignment w:val="auto"/>
      </w:pPr>
      <w:r>
        <w:rPr>
          <w:rFonts w:ascii="Times New Roman" w:hAnsi="Times New Roman" w:eastAsia="宋体"/>
          <w:b w:val="0"/>
          <w:i w:val="0"/>
          <w:color w:val="000000"/>
          <w:sz w:val="18"/>
        </w:rPr>
        <w:t>Figure 5  Illustrative FB measurement. First belief at 1, publication at 2 and rejection at 5 give TBU=4. The interval includes the wait for publication; this example is not a simulated participant record.</w:t>
      </w:r>
    </w:p>
    <w:p w14:paraId="407C9950">
      <w:pPr>
        <w:pStyle w:val="4"/>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3"/>
        </w:rPr>
        <w:t>Total duration and response timing</w:t>
      </w:r>
    </w:p>
    <w:p w14:paraId="5A9AE123">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For users believing before publication, the eligible endpoint cannot precede RT. Delaying publication can therefore lengthen total TBU even if rejection follows quickly afterward. The RT association concerns total duration from initial belief; it does not isolate the processing speed of a correction after receipt. Publication time and each user’s first official exposure are distinct.</w:t>
      </w:r>
    </w:p>
    <w:p w14:paraId="4C615DEA">
      <w:pPr>
        <w:pStyle w:val="4"/>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3"/>
        </w:rPr>
        <w:t>Observed updates and unresolved belief</w:t>
      </w:r>
    </w:p>
    <w:p w14:paraId="781C759B">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Of 980 instances that ever believed, 757 (77.2%) produced a qualifying observed update. The 222 unresolved first episodes remain censored; they are not assigned invented TBU values. One later relapse does not erase a previously observed first update. Low converter-only TBU can coexist with unresolved believers, so both the event count and follow-up limit must accompany the mean.</w:t>
      </w:r>
    </w:p>
    <w:p w14:paraId="1EBC0159">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Government credibility and more inside-directed delivery are supported strategy dimensions within this simulation. However, GC .50 versus .75 does not survive correction (p=.416), so the overall GC test does not establish every adjacent-level difference. TC represents recipient composition rather than accuracy in identifying current believers. DGC moderation remains unsupported.</w:t>
      </w:r>
    </w:p>
    <w:p w14:paraId="34E2841F">
      <w:pPr>
        <w:pStyle w:val="3"/>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6"/>
        </w:rPr>
        <w:t>8 Reproducibility limitations and conclusions</w:t>
      </w:r>
    </w:p>
    <w:p w14:paraId="57348D75">
      <w:pPr>
        <w:pStyle w:val="4"/>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3"/>
        </w:rPr>
        <w:t>Reproducible implementation</w:t>
      </w:r>
    </w:p>
    <w:p w14:paraId="408AAE2E">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The implementation uses SocioVerse2 [3] and runtime v7-government-trust-persona-20261027-2 [4]. MiniMax-M3 is requested with temperature=1.0, top_p=0.95 and maximum output 1,536 tokens; no generation seed is sent. Local seeds fix the network (20261018), targets (20261019), ordering (20261020), government trust (20261022), SOURCE trust (20261023) and population selection (20261024). Frozen profiles, prompts, trust assignments, edges, target lists, responses and committed actions support audit and replay. Re-querying can change outputs.</w:t>
      </w:r>
    </w:p>
    <w:p w14:paraId="7F22CCB1">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All users observe the pre-update feed before current-round actions are applied. Users with no visible material remain idle. Score ranges, visible targets, evidence IDs and short application summaries for all 11 conditions are checked. Such summaries document reported input use rather than reveal internal causal reasoning. Unresolved output or service failures preserve successful responses and pause; no synthetic substitute decision is injected. Full rounds are checkpointed, and exported counts, score histories, exposures and individual transition records permit verification.</w:t>
      </w:r>
    </w:p>
    <w:p w14:paraId="6EDC9702">
      <w:pPr>
        <w:pStyle w:val="4"/>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3"/>
        </w:rPr>
        <w:t>Scope of inference and further validation</w:t>
      </w:r>
    </w:p>
    <w:p w14:paraId="5B85A973">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Each parameter cell has one stochastic trajectory. The 757 user-scenario updates generate 54 scenario means, not 757 independent experimental replicates. HC3 uncertainty depends on response-surface and error assumptions and does not remove dependence from shared personas or networks. The endpoint was retained after exploratory review; keeping the original multiplicity families prevents a narrower display from artificially lowering adjusted p values.</w:t>
      </w:r>
    </w:p>
    <w:p w14:paraId="3740379D">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The scripted case, low simulated belief, synthetic population and absence of a no-response control limit external and causal interpretation. MBTI supplies profile diversity rather than calibrated susceptibility. DGC changes overall SOURCE trust as well as its group gap. Trust direction is embedded in prompt assumptions, so a simulation association does not independently validate that mechanism in human users. Priority checks are independent replications, a no-response arm, alternative cases and networks, longer observation, and sensitivity to trust wording, memory, comments and the threshold.</w:t>
      </w:r>
    </w:p>
    <w:p w14:paraId="66BAFAE1">
      <w:pPr>
        <w:pStyle w:val="4"/>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3"/>
        </w:rPr>
        <w:t>Conclusion</w:t>
      </w:r>
    </w:p>
    <w:p w14:paraId="6CDDB6FC">
      <w:pPr>
        <w:pageBreakBefore w:val="0"/>
        <w:widowControl/>
        <w:kinsoku/>
        <w:wordWrap/>
        <w:overflowPunct/>
        <w:topLinePunct w:val="0"/>
        <w:autoSpaceDE/>
        <w:autoSpaceDN/>
        <w:bidi w:val="0"/>
        <w:adjustRightInd/>
        <w:snapToGrid/>
        <w:spacing w:before="0" w:after="100" w:line="254" w:lineRule="auto"/>
        <w:jc w:val="both"/>
        <w:textAlignment w:val="auto"/>
      </w:pPr>
      <w:r>
        <w:rPr>
          <w:rFonts w:ascii="Times New Roman" w:hAnsi="Times New Roman" w:eastAsia="宋体"/>
          <w:b w:val="0"/>
          <w:i w:val="0"/>
          <w:color w:val="000000"/>
          <w:sz w:val="22"/>
        </w:rPr>
        <w:t>Under FB TBU, later government publication is associated with longer total elapsed belief duration; greater government credibility and more inside-directed targeting are associated with shorter observed duration. The data do not establish cocooning moderation. Conclusions apply to observed converters in the specified simulation, with unresolved episodes and the fixed ten-round horizon reported explicitly.</w:t>
      </w:r>
    </w:p>
    <w:p w14:paraId="01B846C8">
      <w:pPr>
        <w:pStyle w:val="3"/>
        <w:pageBreakBefore w:val="0"/>
        <w:widowControl/>
        <w:kinsoku/>
        <w:wordWrap/>
        <w:overflowPunct/>
        <w:topLinePunct w:val="0"/>
        <w:autoSpaceDE/>
        <w:autoSpaceDN/>
        <w:bidi w:val="0"/>
        <w:adjustRightInd/>
        <w:snapToGrid/>
        <w:spacing w:before="160" w:after="100"/>
        <w:jc w:val="both"/>
        <w:textAlignment w:val="auto"/>
      </w:pPr>
      <w:r>
        <w:rPr>
          <w:rFonts w:ascii="Times New Roman" w:hAnsi="Times New Roman" w:eastAsia="宋体"/>
          <w:b/>
          <w:i w:val="0"/>
          <w:color w:val="000000"/>
          <w:sz w:val="26"/>
        </w:rPr>
        <w:t>References</w:t>
      </w:r>
    </w:p>
    <w:p w14:paraId="0B59F96E">
      <w:pPr>
        <w:pageBreakBefore w:val="0"/>
        <w:widowControl/>
        <w:kinsoku/>
        <w:wordWrap/>
        <w:overflowPunct/>
        <w:topLinePunct w:val="0"/>
        <w:autoSpaceDE/>
        <w:autoSpaceDN/>
        <w:bidi w:val="0"/>
        <w:adjustRightInd/>
        <w:snapToGrid/>
        <w:spacing w:before="0" w:after="60" w:line="240" w:lineRule="auto"/>
        <w:jc w:val="both"/>
        <w:textAlignment w:val="auto"/>
      </w:pPr>
      <w:r>
        <w:rPr>
          <w:rFonts w:ascii="Times New Roman" w:hAnsi="Times New Roman" w:eastAsia="宋体"/>
          <w:b w:val="0"/>
          <w:i w:val="0"/>
          <w:color w:val="000000"/>
          <w:sz w:val="18"/>
        </w:rPr>
        <w:t>[1] Del Vicario, M., et al. (2016). The spreading of misinformation online. Proceedings of the National Academy of Sciences, 113(3), 554–559. https://doi.org/10.1073/pnas.1517441113</w:t>
      </w:r>
    </w:p>
    <w:p w14:paraId="779EE8C3">
      <w:pPr>
        <w:pageBreakBefore w:val="0"/>
        <w:widowControl/>
        <w:kinsoku/>
        <w:wordWrap/>
        <w:overflowPunct/>
        <w:topLinePunct w:val="0"/>
        <w:autoSpaceDE/>
        <w:autoSpaceDN/>
        <w:bidi w:val="0"/>
        <w:adjustRightInd/>
        <w:snapToGrid/>
        <w:spacing w:before="0" w:after="60" w:line="240" w:lineRule="auto"/>
        <w:jc w:val="both"/>
        <w:textAlignment w:val="auto"/>
      </w:pPr>
      <w:r>
        <w:rPr>
          <w:rFonts w:ascii="Times New Roman" w:hAnsi="Times New Roman" w:eastAsia="宋体"/>
          <w:b w:val="0"/>
          <w:i w:val="0"/>
          <w:color w:val="000000"/>
          <w:sz w:val="18"/>
        </w:rPr>
        <w:t>[2] Ecker, U. K. H., et al. (2022). The psychological drivers of misinformation belief and its resistance to correction. Nature Reviews Psychology, 1, 13–29. https://doi.org/10.1038/s44159-021-00006-y</w:t>
      </w:r>
    </w:p>
    <w:p w14:paraId="708F0E3C">
      <w:pPr>
        <w:pageBreakBefore w:val="0"/>
        <w:widowControl/>
        <w:kinsoku/>
        <w:wordWrap/>
        <w:overflowPunct/>
        <w:topLinePunct w:val="0"/>
        <w:autoSpaceDE/>
        <w:autoSpaceDN/>
        <w:bidi w:val="0"/>
        <w:adjustRightInd/>
        <w:snapToGrid/>
        <w:spacing w:before="0" w:after="60" w:line="240" w:lineRule="auto"/>
        <w:jc w:val="both"/>
        <w:textAlignment w:val="auto"/>
      </w:pPr>
      <w:r>
        <w:rPr>
          <w:rFonts w:ascii="Times New Roman" w:hAnsi="Times New Roman" w:eastAsia="宋体"/>
          <w:b w:val="0"/>
          <w:i w:val="0"/>
          <w:color w:val="000000"/>
          <w:sz w:val="18"/>
        </w:rPr>
        <w:t>[3] Zhang, X., et al. (2026). SocioVerse2: A longitudinal dynamic social simulation framework under a human-AI co-evolutionary paradigm. arXiv:2609.24911. https://doi.org/10.48550/arXiv.2609.24911</w:t>
      </w:r>
    </w:p>
    <w:p w14:paraId="5924397E">
      <w:pPr>
        <w:pageBreakBefore w:val="0"/>
        <w:widowControl/>
        <w:kinsoku/>
        <w:wordWrap/>
        <w:overflowPunct/>
        <w:topLinePunct w:val="0"/>
        <w:autoSpaceDE/>
        <w:autoSpaceDN/>
        <w:bidi w:val="0"/>
        <w:adjustRightInd/>
        <w:snapToGrid/>
        <w:spacing w:before="0" w:after="60" w:line="240" w:lineRule="auto"/>
        <w:jc w:val="both"/>
        <w:textAlignment w:val="auto"/>
      </w:pPr>
      <w:r>
        <w:rPr>
          <w:rFonts w:ascii="Times New Roman" w:hAnsi="Times New Roman" w:eastAsia="宋体"/>
          <w:b w:val="0"/>
          <w:i w:val="0"/>
          <w:color w:val="000000"/>
          <w:sz w:val="18"/>
        </w:rPr>
        <w:t>[4] SocioVerse V7 project materials (2026). Model design, parameter settings and interaction mechanisms (24 October), with belief update and government trust persona revisions (27 October). Technical documentation and source code.</w:t>
      </w:r>
    </w:p>
    <w:p w14:paraId="1F0B8CCB">
      <w:pPr>
        <w:pageBreakBefore w:val="0"/>
        <w:widowControl/>
        <w:kinsoku/>
        <w:wordWrap/>
        <w:overflowPunct/>
        <w:topLinePunct w:val="0"/>
        <w:autoSpaceDE/>
        <w:autoSpaceDN/>
        <w:bidi w:val="0"/>
        <w:adjustRightInd/>
        <w:snapToGrid/>
        <w:spacing w:before="0" w:after="60" w:line="240" w:lineRule="auto"/>
        <w:jc w:val="both"/>
        <w:textAlignment w:val="auto"/>
      </w:pPr>
      <w:r>
        <w:rPr>
          <w:rFonts w:ascii="Times New Roman" w:hAnsi="Times New Roman" w:eastAsia="宋体"/>
          <w:b w:val="0"/>
          <w:i w:val="0"/>
          <w:color w:val="000000"/>
          <w:sz w:val="18"/>
        </w:rPr>
        <w:t>[5] Yang, G., Xu, X., &amp; Xu, P. (2026). Government rumor correction and the time of belief updating under group cocooning. SocioVerse Challenge 2026 research proposal.</w:t>
      </w:r>
    </w:p>
    <w:sectPr>
      <w:footerReference r:id="rId5" w:type="default"/>
      <w:pgSz w:w="11905" w:h="16838"/>
      <w:pgMar w:top="950" w:right="1037" w:bottom="893" w:left="1037" w:header="346" w:footer="34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29507">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7D13"/>
    <w:rsid w:val="00AA1D8D"/>
    <w:rsid w:val="00B47730"/>
    <w:rsid w:val="00CB0664"/>
    <w:rsid w:val="00FC693F"/>
    <w:rsid w:val="05466C03"/>
    <w:rsid w:val="0A5E4BA3"/>
    <w:rsid w:val="46C045C0"/>
    <w:rsid w:val="4C821E99"/>
    <w:rsid w:val="7CD04B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00" w:line="254" w:lineRule="auto"/>
    </w:pPr>
    <w:rPr>
      <w:rFonts w:ascii="Times New Roman" w:hAnsi="Times New Roman" w:eastAsiaTheme="minorEastAsia" w:cstheme="minorBidi"/>
      <w:color w:val="000000"/>
      <w:sz w:val="22"/>
      <w:szCs w:val="22"/>
      <w:lang w:val="en-US" w:eastAsia="en-US" w:bidi="ar-SA"/>
    </w:rPr>
  </w:style>
  <w:style w:type="paragraph" w:styleId="3">
    <w:name w:val="heading 1"/>
    <w:basedOn w:val="1"/>
    <w:next w:val="1"/>
    <w:link w:val="139"/>
    <w:qFormat/>
    <w:uiPriority w:val="9"/>
    <w:pPr>
      <w:keepNext/>
      <w:keepLines/>
      <w:spacing w:before="180" w:after="100"/>
      <w:outlineLvl w:val="0"/>
    </w:pPr>
    <w:rPr>
      <w:rFonts w:ascii="Arial" w:hAnsi="Arial" w:cstheme="majorBidi"/>
      <w:b/>
      <w:bCs/>
      <w:color w:val="000000"/>
      <w:sz w:val="26"/>
      <w:szCs w:val="28"/>
    </w:rPr>
  </w:style>
  <w:style w:type="paragraph" w:styleId="4">
    <w:name w:val="heading 2"/>
    <w:basedOn w:val="1"/>
    <w:next w:val="1"/>
    <w:link w:val="140"/>
    <w:unhideWhenUsed/>
    <w:qFormat/>
    <w:uiPriority w:val="9"/>
    <w:pPr>
      <w:keepNext/>
      <w:keepLines/>
      <w:spacing w:before="180" w:after="100"/>
      <w:outlineLvl w:val="1"/>
    </w:pPr>
    <w:rPr>
      <w:rFonts w:ascii="Arial" w:hAnsi="Arial" w:cstheme="majorBidi"/>
      <w:b/>
      <w:bCs/>
      <w:color w:val="000000"/>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00" w:line="240" w:lineRule="auto"/>
    </w:pPr>
    <w:rPr>
      <w:rFonts w:ascii="Times New Roman" w:hAnsi="Times New Roman"/>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100" w:line="240" w:lineRule="auto"/>
    </w:pPr>
    <w:rPr>
      <w:rFonts w:ascii="Times New Roman" w:hAnsi="Times New Roman"/>
      <w:color w:val="000000"/>
      <w:sz w:val="18"/>
    </w:r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spacing w:before="0" w:after="100"/>
    </w:pPr>
    <w:rPr>
      <w:rFonts w:ascii="Times New Roman" w:hAnsi="Times New Roman" w:cstheme="majorBidi"/>
      <w:i/>
      <w:iCs/>
      <w:color w:val="000000"/>
      <w:spacing w:val="15"/>
      <w:sz w:val="22"/>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before="0" w:after="100" w:line="240" w:lineRule="auto"/>
      <w:contextualSpacing/>
    </w:pPr>
    <w:rPr>
      <w:rFonts w:ascii="Arial" w:hAnsi="Arial" w:cstheme="majorBidi"/>
      <w:b/>
      <w:color w:val="000000"/>
      <w:spacing w:val="5"/>
      <w:kern w:val="28"/>
      <w:sz w:val="38"/>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408</Words>
  <Characters>2506</Characters>
  <Lines>0</Lines>
  <Paragraphs>0</Paragraphs>
  <TotalTime>20</TotalTime>
  <ScaleCrop>false</ScaleCrop>
  <LinksUpToDate>false</LinksUpToDate>
  <CharactersWithSpaces>2907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Guang Yang; Xiangyu Xu; Pengyuan Xu</dc:creator>
  <dc:description>generated by python-docx</dc:description>
  <cp:keywords>government rumor correction; belief updating; source trust; group cocooning; LLM agents; SocioVerse</cp:keywords>
  <cp:lastModifiedBy>leeswimmer</cp:lastModifiedBy>
  <dcterms:modified xsi:type="dcterms:W3CDTF">2026-10-30T06:29:14Z</dcterms:modified>
  <dc:subject>Research design and model specification for SocioVerse V7</dc:subject>
  <dc:title>Government Rumor Correction and Belief Updating under Group Cocooning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eyJoZGlkIjoiZWRhNzk1NDVlZmQ0MDJmYzM0Y2IxMjM2MGRlNGVmYjIiLCJ1c2VySWQiOiIyNjA1Nzg1NiJ9</vt:lpwstr>
  </property>
  <property fmtid="{D5CDD505-2E9C-101B-9397-08002B2CF9AE}" pid="3" name="KSOProductBuildVer">
    <vt:lpwstr>2052-12.1.0.29161</vt:lpwstr>
  </property>
  <property fmtid="{D5CDD505-2E9C-101B-9397-08002B2CF9AE}" pid="4" name="ICV">
    <vt:lpwstr>B07198C704084E4C960612D8E11FAE8D_13</vt:lpwstr>
  </property>
</Properties>
</file>