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9B95AC7">
      <w:pPr>
        <w:pStyle w:val="32"/>
        <w:jc w:val="center"/>
        <w:rPr>
          <w:rFonts w:hint="default" w:ascii="Times New Roman" w:hAnsi="Times New Roman" w:cs="Times New Roman"/>
        </w:rPr>
      </w:pPr>
      <w:r>
        <w:rPr>
          <w:rFonts w:hint="default" w:ascii="Times New Roman" w:hAnsi="Times New Roman" w:cs="Times New Roman"/>
        </w:rPr>
        <w:t>Government Rumor Correction and Belief Updating under Group Cocooning</w:t>
      </w:r>
    </w:p>
    <w:p w14:paraId="4EC56658">
      <w:pPr>
        <w:jc w:val="center"/>
        <w:rPr>
          <w:rFonts w:hint="default" w:ascii="Times New Roman" w:hAnsi="Times New Roman" w:cs="Times New Roman"/>
          <w:sz w:val="20"/>
        </w:rPr>
      </w:pPr>
      <w:bookmarkStart w:id="0" w:name="_GoBack"/>
      <w:r>
        <w:rPr>
          <w:rFonts w:hint="default" w:ascii="Times New Roman" w:hAnsi="Times New Roman" w:cs="Times New Roman"/>
          <w:sz w:val="20"/>
        </w:rPr>
        <w:t>Guang Yang¹   Xiangyu Xu²   Pengyuan Xu²</w:t>
      </w:r>
    </w:p>
    <w:p w14:paraId="1EEB190B">
      <w:pPr>
        <w:jc w:val="center"/>
        <w:rPr>
          <w:rFonts w:hint="default" w:ascii="Times New Roman" w:hAnsi="Times New Roman" w:eastAsia="宋体" w:cs="Times New Roman"/>
          <w:sz w:val="20"/>
          <w:lang w:val="en-US" w:eastAsia="zh-CN"/>
        </w:rPr>
      </w:pPr>
      <w:r>
        <w:rPr>
          <w:rFonts w:hint="eastAsia" w:eastAsia="宋体" w:cs="Times New Roman"/>
          <w:sz w:val="20"/>
          <w:lang w:val="en-US" w:eastAsia="zh-CN"/>
        </w:rPr>
        <w:t>Tutor: Moyan Li  Xu Zhang</w:t>
      </w:r>
    </w:p>
    <w:p w14:paraId="7C67F385">
      <w:pPr>
        <w:jc w:val="center"/>
        <w:rPr>
          <w:rFonts w:hint="default" w:ascii="Times New Roman" w:hAnsi="Times New Roman" w:cs="Times New Roman"/>
        </w:rPr>
      </w:pPr>
      <w:r>
        <w:rPr>
          <w:rFonts w:hint="default" w:ascii="Times New Roman" w:hAnsi="Times New Roman" w:cs="Times New Roman"/>
          <w:sz w:val="18"/>
        </w:rPr>
        <w:t>¹ China University of Mining and Technology</w:t>
      </w:r>
      <w:r>
        <w:rPr>
          <w:rFonts w:hint="default" w:ascii="Times New Roman" w:hAnsi="Times New Roman" w:cs="Times New Roman"/>
          <w:sz w:val="18"/>
        </w:rPr>
        <w:br w:type="textWrapping"/>
      </w:r>
      <w:r>
        <w:rPr>
          <w:rFonts w:hint="default" w:ascii="Times New Roman" w:hAnsi="Times New Roman" w:cs="Times New Roman"/>
          <w:sz w:val="18"/>
        </w:rPr>
        <w:t>² Hong Kong University of Science and Technology (Guangzhou)</w:t>
      </w:r>
    </w:p>
    <w:p>
      <w:pPr>
        <w:pStyle w:val="3"/>
        <w:spacing w:before="160" w:after="100"/>
      </w:pPr>
      <w:r>
        <w:rPr>
          <w:rFonts w:ascii="Times New Roman" w:hAnsi="Times New Roman" w:eastAsia="SimSun"/>
          <w:b/>
          <w:i w:val="0"/>
          <w:color w:val="000000"/>
          <w:sz w:val="26"/>
        </w:rPr>
        <w:t>Abstract</w:t>
      </w:r>
    </w:p>
    <w:p>
      <w:pPr>
        <w:spacing w:before="0" w:after="100" w:line="254" w:lineRule="auto"/>
      </w:pPr>
      <w:r>
        <w:rPr>
          <w:rFonts w:ascii="Times New Roman" w:hAnsi="Times New Roman" w:eastAsia="SimSun"/>
          <w:b w:val="0"/>
          <w:i w:val="0"/>
          <w:color w:val="000000"/>
          <w:sz w:val="22"/>
        </w:rPr>
        <w:t>Government corrections compete with familiar rumor sources within uneven information networks. We examine response timing (RT), targeting capacity (TC), government credibility (GC) and moderation by degree of group cocooning (DGC) using 54 completed SocioVerse V7 scenarios, each containing 300 heterogeneous LLM users and ten synchronous rounds. Time of belief updating (TBU) starts at a user’s first observed belief and ends at the first observed belief-to-rejection transition in or after the government publication round. The 757 qualifying transitions yield 54 scenario means, averaging 4.557 steps. HC3-robust level tests with retained Holm correction identify RT, TC and GC differences (all adjusted p&lt;.001), while DGC is not significant (p=.272). Relative to RT=2, RT=7 corresponds to 3.838 additional steps; increasing GC from .25 to .75 and TC from .20 to .80 corresponds to reductions of 1.348 and .806 steps. None of the three DGC interactions is supported. TBU includes time awaiting official publication and describes observed converters; 222 unresolved first episodes remain right-censored. Single trajectories per setting, synthetic profiles and the absence of a no-response control limit causal and population-level interpretation.</w:t>
      </w:r>
    </w:p>
    <w:p>
      <w:pPr>
        <w:spacing w:before="0" w:after="100" w:line="254" w:lineRule="auto"/>
      </w:pPr>
      <w:r>
        <w:rPr>
          <w:rFonts w:ascii="Times New Roman" w:hAnsi="Times New Roman" w:eastAsia="SimSun"/>
          <w:b w:val="0"/>
          <w:i w:val="0"/>
          <w:color w:val="000000"/>
          <w:sz w:val="19"/>
        </w:rPr>
        <w:t>Keywords  Government rumor correction; time of belief updating; group cocooning; government credibility; LLM agents</w:t>
      </w:r>
    </w:p>
    <w:p>
      <w:pPr>
        <w:pStyle w:val="3"/>
        <w:spacing w:before="160" w:after="100"/>
      </w:pPr>
      <w:r>
        <w:rPr>
          <w:rFonts w:ascii="Times New Roman" w:hAnsi="Times New Roman" w:eastAsia="SimSun"/>
          <w:b/>
          <w:i w:val="0"/>
          <w:color w:val="000000"/>
          <w:sz w:val="26"/>
        </w:rPr>
        <w:t>1 Research background and objectives</w:t>
      </w:r>
    </w:p>
    <w:p>
      <w:pPr>
        <w:spacing w:before="0" w:after="100" w:line="254" w:lineRule="auto"/>
      </w:pPr>
      <w:r>
        <w:rPr>
          <w:rFonts w:ascii="Times New Roman" w:hAnsi="Times New Roman" w:eastAsia="SimSun"/>
          <w:b w:val="0"/>
          <w:i w:val="0"/>
          <w:color w:val="000000"/>
          <w:sz w:val="22"/>
        </w:rPr>
        <w:t>On social media, follower ties and reposts shape which rumor claims and official corrections users encounter. Source trust may influence acceptance, while uneven access can prolong belief within particular groups [1,2]. This study compares TBU across controlled response strategies and examines whether the source-trust gap between cocoon groups changes their associations. It addresses Track B on counterfactual intervention and impact assessment through specified simulation scenarios.</w:t>
      </w:r>
    </w:p>
    <w:p>
      <w:pPr>
        <w:spacing w:before="0" w:after="100" w:line="254" w:lineRule="auto"/>
      </w:pPr>
      <w:r>
        <w:rPr>
          <w:rFonts w:ascii="Times New Roman" w:hAnsi="Times New Roman" w:eastAsia="SimSun"/>
          <w:b w:val="0"/>
          <w:i w:val="0"/>
          <w:color w:val="000000"/>
          <w:sz w:val="22"/>
        </w:rPr>
        <w:t>The proposal identifies 125 public rumor events, 21,833 comments, 22,359 reposts, 873 rumor posts in seven categories and 265 questionnaire responses as its wider empirical resource base [5]. The present experiment uses one scripted case and synthetic personas. These resources motivate the research but do not establish behavioral calibration of V7 or representativeness of its simulated users.</w:t>
      </w:r>
    </w:p>
    <w:p>
      <w:pPr>
        <w:spacing w:before="0" w:after="100" w:line="254" w:lineRule="auto"/>
      </w:pPr>
      <w:r>
        <w:rPr>
          <w:rFonts w:ascii="Times New Roman" w:hAnsi="Times New Roman" w:eastAsia="SimSun"/>
          <w:b w:val="0"/>
          <w:i w:val="0"/>
          <w:color w:val="000000"/>
          <w:sz w:val="22"/>
        </w:rPr>
        <w:t>The selected outcome follows belief from its initial onset. It therefore evaluates total elapsed duration before an observed update after official publication, including any time already spent believing while awaiting the response. Publication, individual exposure to the response and subsequent belief change are recorded as distinct events.</w:t>
      </w:r>
    </w:p>
    <w:p>
      <w:r>
        <w:br w:type="page"/>
      </w:r>
    </w:p>
    <w:p>
      <w:pPr>
        <w:pStyle w:val="3"/>
        <w:spacing w:before="160" w:after="100"/>
      </w:pPr>
      <w:r>
        <w:rPr>
          <w:rFonts w:ascii="Times New Roman" w:hAnsi="Times New Roman" w:eastAsia="SimSun"/>
          <w:b/>
          <w:i w:val="0"/>
          <w:color w:val="000000"/>
          <w:sz w:val="26"/>
        </w:rPr>
        <w:t>2 Model setting and experimental design</w:t>
      </w:r>
    </w:p>
    <w:p>
      <w:pPr>
        <w:spacing w:before="0" w:after="100" w:line="254" w:lineRule="auto"/>
      </w:pPr>
      <w:r>
        <w:rPr>
          <w:rFonts w:ascii="Times New Roman" w:hAnsi="Times New Roman" w:eastAsia="SimSun"/>
          <w:b w:val="0"/>
          <w:i w:val="0"/>
          <w:color w:val="000000"/>
          <w:sz w:val="22"/>
        </w:rPr>
        <w:t>SOURCE publishes a fixed allegation that safety-renovation funds for old residential neighborhoods were redirected toward commercial-street improvements, delaying safety work. A separate GOVERNMENT account denies the redirection after a claimed records review, explains scheduling differences and promises disclosure. No independently inspectable budget records are attached. Both experimental posts remain identical across settings.</w:t>
      </w:r>
    </w:p>
    <w:p>
      <w:pPr>
        <w:spacing w:before="0" w:after="100" w:line="254" w:lineRule="auto"/>
      </w:pPr>
      <w:r>
        <w:rPr>
          <w:rFonts w:ascii="Times New Roman" w:hAnsi="Times New Roman" w:eastAsia="SimSun"/>
          <w:b w:val="0"/>
          <w:i w:val="0"/>
          <w:color w:val="000000"/>
          <w:sz w:val="22"/>
        </w:rPr>
        <w:t>All 300 audience users are LLM agents: 48 follow SOURCE inside the cocoon and 252 do not outside it. Each follows eight same-group and two cross-group peers, producing 3,000 peer ties plus 48 SOURCE ties. Only inside users initially read the original; others encounter it through followee reposts. Direct official delivery does not reveal an unseen rumor root. Encountered roots can be revisited. There is no separate recommendation engine.</w:t>
      </w:r>
    </w:p>
    <w:p>
      <w:pPr>
        <w:keepNext/>
        <w:spacing w:after="0"/>
        <w:jc w:val="center"/>
      </w:pPr>
      <w:r>
        <w:drawing>
          <wp:inline xmlns:a="http://schemas.openxmlformats.org/drawingml/2006/main" xmlns:pic="http://schemas.openxmlformats.org/drawingml/2006/picture">
            <wp:extent cx="6035040" cy="2396266"/>
            <wp:docPr id="1" name="Picture 1"/>
            <wp:cNvGraphicFramePr>
              <a:graphicFrameLocks noChangeAspect="1"/>
            </wp:cNvGraphicFramePr>
            <a:graphic>
              <a:graphicData uri="http://schemas.openxmlformats.org/drawingml/2006/picture">
                <pic:pic>
                  <pic:nvPicPr>
                    <pic:cNvPr id="0" name="Figure1_network_access.png"/>
                    <pic:cNvPicPr/>
                  </pic:nvPicPr>
                  <pic:blipFill>
                    <a:blip r:embed="rId12"/>
                    <a:stretch>
                      <a:fillRect/>
                    </a:stretch>
                  </pic:blipFill>
                  <pic:spPr>
                    <a:xfrm>
                      <a:off x="0" y="0"/>
                      <a:ext cx="6035040" cy="2396266"/>
                    </a:xfrm>
                    <a:prstGeom prst="rect"/>
                  </pic:spPr>
                </pic:pic>
              </a:graphicData>
            </a:graphic>
          </wp:inline>
        </w:drawing>
      </w:r>
    </w:p>
    <w:p>
      <w:pPr>
        <w:pStyle w:val="15"/>
        <w:spacing w:before="0" w:after="100" w:line="240" w:lineRule="auto"/>
      </w:pPr>
      <w:r>
        <w:rPr>
          <w:rFonts w:ascii="Times New Roman" w:hAnsi="Times New Roman" w:eastAsia="SimSun"/>
          <w:b w:val="0"/>
          <w:i w:val="0"/>
          <w:color w:val="000000"/>
          <w:sz w:val="18"/>
        </w:rPr>
        <w:t>Figure 1  Implemented actors and access. Arrows show message delivery. SOURCE and GOVERNMENT are scripted publishing accounts; audience users make LLM decisions.</w:t>
      </w:r>
    </w:p>
    <w:p>
      <w:pPr>
        <w:pStyle w:val="15"/>
        <w:keepNext/>
        <w:spacing w:before="0" w:after="100" w:line="240" w:lineRule="auto"/>
      </w:pPr>
      <w:r>
        <w:rPr>
          <w:rFonts w:ascii="Times New Roman" w:hAnsi="Times New Roman" w:eastAsia="SimSun"/>
          <w:b w:val="0"/>
          <w:i w:val="0"/>
          <w:color w:val="000000"/>
          <w:sz w:val="18"/>
        </w:rPr>
        <w:t>Table 1  Factor levels and direct-delivery allocation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75" w:type="dxa"/>
          <w:right w:w="75" w:type="dxa"/>
        </w:tblCellMar>
      </w:tblPr>
      <w:tblGrid>
        <w:gridCol w:w="1944"/>
        <w:gridCol w:w="864"/>
        <w:gridCol w:w="1584"/>
        <w:gridCol w:w="5328"/>
      </w:tblGrid>
      <w:tr>
        <w:trPr>
          <w:tblHeader/>
          <w:cantSplit/>
        </w:trPr>
        <w:tc>
          <w:tcPr>
            <w:tcW w:type="dxa" w:w="1944"/>
            <w:vAlign w:val="center"/>
            <w:shd w:fill="E5ECF1"/>
          </w:tcPr>
          <w:p>
            <w:pPr>
              <w:keepNext/>
              <w:spacing w:after="0" w:before="0" w:line="245" w:lineRule="auto"/>
              <w:jc w:val="left"/>
            </w:pPr>
            <w:r>
              <w:rPr>
                <w:rFonts w:ascii="Times New Roman" w:hAnsi="Times New Roman" w:eastAsia="SimSun"/>
                <w:b/>
                <w:i w:val="0"/>
                <w:color w:val="000000"/>
                <w:sz w:val="18"/>
              </w:rPr>
              <w:t>Factor</w:t>
            </w:r>
          </w:p>
        </w:tc>
        <w:tc>
          <w:tcPr>
            <w:tcW w:type="dxa" w:w="864"/>
            <w:vAlign w:val="center"/>
            <w:shd w:fill="E5ECF1"/>
          </w:tcPr>
          <w:p>
            <w:pPr>
              <w:keepNext/>
              <w:spacing w:after="0" w:before="0" w:line="245" w:lineRule="auto"/>
              <w:jc w:val="left"/>
            </w:pPr>
            <w:r>
              <w:rPr>
                <w:rFonts w:ascii="Times New Roman" w:hAnsi="Times New Roman" w:eastAsia="SimSun"/>
                <w:b/>
                <w:i w:val="0"/>
                <w:color w:val="000000"/>
                <w:sz w:val="18"/>
              </w:rPr>
              <w:t>Symbol</w:t>
            </w:r>
          </w:p>
        </w:tc>
        <w:tc>
          <w:tcPr>
            <w:tcW w:type="dxa" w:w="1584"/>
            <w:vAlign w:val="center"/>
            <w:shd w:fill="E5ECF1"/>
          </w:tcPr>
          <w:p>
            <w:pPr>
              <w:keepNext/>
              <w:spacing w:after="0" w:before="0" w:line="245" w:lineRule="auto"/>
              <w:jc w:val="left"/>
            </w:pPr>
            <w:r>
              <w:rPr>
                <w:rFonts w:ascii="Times New Roman" w:hAnsi="Times New Roman" w:eastAsia="SimSun"/>
                <w:b/>
                <w:i w:val="0"/>
                <w:color w:val="000000"/>
                <w:sz w:val="18"/>
              </w:rPr>
              <w:t>Levels</w:t>
            </w:r>
          </w:p>
        </w:tc>
        <w:tc>
          <w:tcPr>
            <w:tcW w:type="dxa" w:w="5328"/>
            <w:vAlign w:val="center"/>
            <w:shd w:fill="E5ECF1"/>
          </w:tcPr>
          <w:p>
            <w:pPr>
              <w:keepNext/>
              <w:spacing w:after="0" w:before="0" w:line="245" w:lineRule="auto"/>
              <w:jc w:val="left"/>
            </w:pPr>
            <w:r>
              <w:rPr>
                <w:rFonts w:ascii="Times New Roman" w:hAnsi="Times New Roman" w:eastAsia="SimSun"/>
                <w:b/>
                <w:i w:val="0"/>
                <w:color w:val="000000"/>
                <w:sz w:val="18"/>
              </w:rPr>
              <w:t>Operational definition</w:t>
            </w:r>
          </w:p>
        </w:tc>
      </w:tr>
      <w:tr>
        <w:trPr>
          <w:cantSplit/>
        </w:trPr>
        <w:tc>
          <w:tcPr>
            <w:tcW w:type="dxa" w:w="1944"/>
            <w:vAlign w:val="center"/>
          </w:tcPr>
          <w:p>
            <w:pPr>
              <w:spacing w:after="0" w:before="0" w:line="245" w:lineRule="auto"/>
              <w:jc w:val="left"/>
            </w:pPr>
            <w:r>
              <w:rPr>
                <w:rFonts w:ascii="Times New Roman" w:hAnsi="Times New Roman" w:eastAsia="SimSun"/>
                <w:b w:val="0"/>
                <w:i w:val="0"/>
                <w:color w:val="000000"/>
                <w:sz w:val="18"/>
              </w:rPr>
              <w:t>Response timing</w:t>
            </w:r>
          </w:p>
        </w:tc>
        <w:tc>
          <w:tcPr>
            <w:tcW w:type="dxa" w:w="864"/>
            <w:vAlign w:val="center"/>
          </w:tcPr>
          <w:p>
            <w:pPr>
              <w:spacing w:after="0" w:before="0" w:line="245" w:lineRule="auto"/>
              <w:jc w:val="left"/>
            </w:pPr>
            <w:r>
              <w:rPr>
                <w:rFonts w:ascii="Times New Roman" w:hAnsi="Times New Roman" w:eastAsia="SimSun"/>
                <w:b w:val="0"/>
                <w:i w:val="0"/>
                <w:color w:val="000000"/>
                <w:sz w:val="18"/>
              </w:rPr>
              <w:t>RT</w:t>
            </w:r>
          </w:p>
        </w:tc>
        <w:tc>
          <w:tcPr>
            <w:tcW w:type="dxa" w:w="1584"/>
            <w:vAlign w:val="center"/>
          </w:tcPr>
          <w:p>
            <w:pPr>
              <w:spacing w:after="0" w:before="0" w:line="245" w:lineRule="auto"/>
              <w:jc w:val="left"/>
            </w:pPr>
            <w:r>
              <w:rPr>
                <w:rFonts w:ascii="Times New Roman" w:hAnsi="Times New Roman" w:eastAsia="SimSun"/>
                <w:b w:val="0"/>
                <w:i w:val="0"/>
                <w:color w:val="000000"/>
                <w:sz w:val="18"/>
              </w:rPr>
              <w:t>2, 4, 7</w:t>
            </w:r>
          </w:p>
        </w:tc>
        <w:tc>
          <w:tcPr>
            <w:tcW w:type="dxa" w:w="5328"/>
            <w:vAlign w:val="center"/>
          </w:tcPr>
          <w:p>
            <w:pPr>
              <w:spacing w:after="0" w:before="0" w:line="245" w:lineRule="auto"/>
              <w:jc w:val="left"/>
            </w:pPr>
            <w:r>
              <w:rPr>
                <w:rFonts w:ascii="Times New Roman" w:hAnsi="Times New Roman" w:eastAsia="SimSun"/>
                <w:b w:val="0"/>
                <w:i w:val="0"/>
                <w:color w:val="000000"/>
                <w:sz w:val="18"/>
              </w:rPr>
              <w:t>Official publication and one-time direct delivery round.</w:t>
            </w:r>
          </w:p>
        </w:tc>
      </w:tr>
      <w:tr>
        <w:trPr>
          <w:cantSplit/>
        </w:trPr>
        <w:tc>
          <w:tcPr>
            <w:tcW w:type="dxa" w:w="1944"/>
            <w:vAlign w:val="center"/>
          </w:tcPr>
          <w:p>
            <w:pPr>
              <w:spacing w:after="0" w:before="0" w:line="245" w:lineRule="auto"/>
              <w:jc w:val="left"/>
            </w:pPr>
            <w:r>
              <w:rPr>
                <w:rFonts w:ascii="Times New Roman" w:hAnsi="Times New Roman" w:eastAsia="SimSun"/>
                <w:b w:val="0"/>
                <w:i w:val="0"/>
                <w:color w:val="000000"/>
                <w:sz w:val="18"/>
              </w:rPr>
              <w:t>Targeting capacity</w:t>
            </w:r>
          </w:p>
        </w:tc>
        <w:tc>
          <w:tcPr>
            <w:tcW w:type="dxa" w:w="864"/>
            <w:vAlign w:val="center"/>
          </w:tcPr>
          <w:p>
            <w:pPr>
              <w:spacing w:after="0" w:before="0" w:line="245" w:lineRule="auto"/>
              <w:jc w:val="left"/>
            </w:pPr>
            <w:r>
              <w:rPr>
                <w:rFonts w:ascii="Times New Roman" w:hAnsi="Times New Roman" w:eastAsia="SimSun"/>
                <w:b w:val="0"/>
                <w:i w:val="0"/>
                <w:color w:val="000000"/>
                <w:sz w:val="18"/>
              </w:rPr>
              <w:t>TC</w:t>
            </w:r>
          </w:p>
        </w:tc>
        <w:tc>
          <w:tcPr>
            <w:tcW w:type="dxa" w:w="1584"/>
            <w:vAlign w:val="center"/>
          </w:tcPr>
          <w:p>
            <w:pPr>
              <w:spacing w:after="0" w:before="0" w:line="245" w:lineRule="auto"/>
              <w:jc w:val="left"/>
            </w:pPr>
            <w:r>
              <w:rPr>
                <w:rFonts w:ascii="Times New Roman" w:hAnsi="Times New Roman" w:eastAsia="SimSun"/>
                <w:b w:val="0"/>
                <w:i w:val="0"/>
                <w:color w:val="000000"/>
                <w:sz w:val="18"/>
              </w:rPr>
              <w:t>.20, .80</w:t>
            </w:r>
          </w:p>
        </w:tc>
        <w:tc>
          <w:tcPr>
            <w:tcW w:type="dxa" w:w="5328"/>
            <w:vAlign w:val="center"/>
          </w:tcPr>
          <w:p>
            <w:pPr>
              <w:spacing w:after="0" w:before="0" w:line="245" w:lineRule="auto"/>
              <w:jc w:val="left"/>
            </w:pPr>
            <w:r>
              <w:rPr>
                <w:rFonts w:ascii="Times New Roman" w:hAnsi="Times New Roman" w:eastAsia="SimSun"/>
                <w:b w:val="0"/>
                <w:i w:val="0"/>
                <w:color w:val="000000"/>
                <w:sz w:val="18"/>
              </w:rPr>
              <w:t>Inside share of 50 recipients: 10/40 or 40/10 inside/outside.</w:t>
            </w:r>
          </w:p>
        </w:tc>
      </w:tr>
      <w:tr>
        <w:trPr>
          <w:cantSplit/>
        </w:trPr>
        <w:tc>
          <w:tcPr>
            <w:tcW w:type="dxa" w:w="1944"/>
            <w:vAlign w:val="center"/>
          </w:tcPr>
          <w:p>
            <w:pPr>
              <w:spacing w:after="0" w:before="0" w:line="245" w:lineRule="auto"/>
              <w:jc w:val="left"/>
            </w:pPr>
            <w:r>
              <w:rPr>
                <w:rFonts w:ascii="Times New Roman" w:hAnsi="Times New Roman" w:eastAsia="SimSun"/>
                <w:b w:val="0"/>
                <w:i w:val="0"/>
                <w:color w:val="000000"/>
                <w:sz w:val="18"/>
              </w:rPr>
              <w:t>Government credibility</w:t>
            </w:r>
          </w:p>
        </w:tc>
        <w:tc>
          <w:tcPr>
            <w:tcW w:type="dxa" w:w="864"/>
            <w:vAlign w:val="center"/>
          </w:tcPr>
          <w:p>
            <w:pPr>
              <w:spacing w:after="0" w:before="0" w:line="245" w:lineRule="auto"/>
              <w:jc w:val="left"/>
            </w:pPr>
            <w:r>
              <w:rPr>
                <w:rFonts w:ascii="Times New Roman" w:hAnsi="Times New Roman" w:eastAsia="SimSun"/>
                <w:b w:val="0"/>
                <w:i w:val="0"/>
                <w:color w:val="000000"/>
                <w:sz w:val="18"/>
              </w:rPr>
              <w:t>GC</w:t>
            </w:r>
          </w:p>
        </w:tc>
        <w:tc>
          <w:tcPr>
            <w:tcW w:type="dxa" w:w="1584"/>
            <w:vAlign w:val="center"/>
          </w:tcPr>
          <w:p>
            <w:pPr>
              <w:spacing w:after="0" w:before="0" w:line="245" w:lineRule="auto"/>
              <w:jc w:val="left"/>
            </w:pPr>
            <w:r>
              <w:rPr>
                <w:rFonts w:ascii="Times New Roman" w:hAnsi="Times New Roman" w:eastAsia="SimSun"/>
                <w:b w:val="0"/>
                <w:i w:val="0"/>
                <w:color w:val="000000"/>
                <w:sz w:val="18"/>
              </w:rPr>
              <w:t>.25, .50, .75</w:t>
            </w:r>
          </w:p>
        </w:tc>
        <w:tc>
          <w:tcPr>
            <w:tcW w:type="dxa" w:w="5328"/>
            <w:vAlign w:val="center"/>
          </w:tcPr>
          <w:p>
            <w:pPr>
              <w:spacing w:after="0" w:before="0" w:line="245" w:lineRule="auto"/>
              <w:jc w:val="left"/>
            </w:pPr>
            <w:r>
              <w:rPr>
                <w:rFonts w:ascii="Times New Roman" w:hAnsi="Times New Roman" w:eastAsia="SimSun"/>
                <w:b w:val="0"/>
                <w:i w:val="0"/>
                <w:color w:val="000000"/>
                <w:sz w:val="18"/>
              </w:rPr>
              <w:t>Population mean of assigned prior trust in GOVERNMENT.</w:t>
            </w:r>
          </w:p>
        </w:tc>
      </w:tr>
      <w:tr>
        <w:trPr>
          <w:cantSplit/>
        </w:trPr>
        <w:tc>
          <w:tcPr>
            <w:tcW w:type="dxa" w:w="1944"/>
            <w:vAlign w:val="center"/>
          </w:tcPr>
          <w:p>
            <w:pPr>
              <w:spacing w:after="0" w:before="0" w:line="245" w:lineRule="auto"/>
              <w:jc w:val="left"/>
            </w:pPr>
            <w:r>
              <w:rPr>
                <w:rFonts w:ascii="Times New Roman" w:hAnsi="Times New Roman" w:eastAsia="SimSun"/>
                <w:b w:val="0"/>
                <w:i w:val="0"/>
                <w:color w:val="000000"/>
                <w:sz w:val="18"/>
              </w:rPr>
              <w:t>Degree of group cocooning</w:t>
            </w:r>
          </w:p>
        </w:tc>
        <w:tc>
          <w:tcPr>
            <w:tcW w:type="dxa" w:w="864"/>
            <w:vAlign w:val="center"/>
          </w:tcPr>
          <w:p>
            <w:pPr>
              <w:spacing w:after="0" w:before="0" w:line="245" w:lineRule="auto"/>
              <w:jc w:val="left"/>
            </w:pPr>
            <w:r>
              <w:rPr>
                <w:rFonts w:ascii="Times New Roman" w:hAnsi="Times New Roman" w:eastAsia="SimSun"/>
                <w:b w:val="0"/>
                <w:i w:val="0"/>
                <w:color w:val="000000"/>
                <w:sz w:val="18"/>
              </w:rPr>
              <w:t>DGC</w:t>
            </w:r>
          </w:p>
        </w:tc>
        <w:tc>
          <w:tcPr>
            <w:tcW w:type="dxa" w:w="1584"/>
            <w:vAlign w:val="center"/>
          </w:tcPr>
          <w:p>
            <w:pPr>
              <w:spacing w:after="0" w:before="0" w:line="245" w:lineRule="auto"/>
              <w:jc w:val="left"/>
            </w:pPr>
            <w:r>
              <w:rPr>
                <w:rFonts w:ascii="Times New Roman" w:hAnsi="Times New Roman" w:eastAsia="SimSun"/>
                <w:b w:val="0"/>
                <w:i w:val="0"/>
                <w:color w:val="000000"/>
                <w:sz w:val="18"/>
              </w:rPr>
              <w:t>0, .20, .40</w:t>
            </w:r>
          </w:p>
        </w:tc>
        <w:tc>
          <w:tcPr>
            <w:tcW w:type="dxa" w:w="5328"/>
            <w:vAlign w:val="center"/>
          </w:tcPr>
          <w:p>
            <w:pPr>
              <w:spacing w:after="0" w:before="0" w:line="245" w:lineRule="auto"/>
              <w:jc w:val="left"/>
            </w:pPr>
            <w:r>
              <w:rPr>
                <w:rFonts w:ascii="Times New Roman" w:hAnsi="Times New Roman" w:eastAsia="SimSun"/>
                <w:b w:val="0"/>
                <w:i w:val="0"/>
                <w:color w:val="000000"/>
                <w:sz w:val="18"/>
              </w:rPr>
              <w:t>Inside-minus-outside mean SOURCE trust; network fixed.</w:t>
            </w:r>
          </w:p>
        </w:tc>
      </w:tr>
    </w:tbl>
    <w:p>
      <w:pPr>
        <w:pStyle w:val="15"/>
        <w:spacing w:before="0" w:after="100" w:line="240" w:lineRule="auto"/>
      </w:pPr>
      <w:r>
        <w:rPr>
          <w:rFonts w:ascii="Times New Roman" w:hAnsi="Times New Roman" w:eastAsia="SimSun"/>
          <w:b w:val="0"/>
          <w:i w:val="0"/>
          <w:color w:val="000000"/>
          <w:sz w:val="18"/>
        </w:rPr>
        <w:t>3×2×3×3=54 settings; ten rounds each. Targets are sampled without replacement without screening current belief. TC=.20 reaches 20.83%/15.87% of inside/outside users; TC=.80 reaches 83.33%/3.97%.</w:t>
      </w:r>
    </w:p>
    <w:p>
      <w:pPr>
        <w:spacing w:before="0" w:after="100" w:line="254" w:lineRule="auto"/>
      </w:pPr>
      <w:r>
        <w:rPr>
          <w:rFonts w:ascii="Times New Roman" w:hAnsi="Times New Roman" w:eastAsia="SimSun"/>
          <w:b w:val="0"/>
          <w:i w:val="0"/>
          <w:color w:val="000000"/>
          <w:sz w:val="21"/>
        </w:rPr>
        <w:t>Individual SOURCE and government trust are fixed 0–1 priors, distinct from the changing 0–100 belief score. SOURCE mean assignments are:</w:t>
      </w:r>
    </w:p>
    <w:p w14:paraId="2DF4E322">
      <w:pPr>
        <w:spacing w:before="0" w:after="60" w:line="240" w:lineRule="auto"/>
        <w:jc w:val="center"/>
        <w:rPr>
          <w:rFonts w:hint="default" w:ascii="Times New Roman" w:hAnsi="Times New Roman" w:cs="Times New Roman"/>
        </w:rPr>
      </w:pPr>
      <m:oMathPara>
        <m:oMath>
          <m:sSub>
            <m:sSubPr>
              <m:ctrlPr>
                <w:rPr>
                  <w:rFonts w:hint="default" w:ascii="Cambria Math" w:hAnsi="Cambria Math" w:cs="Times New Roman"/>
                </w:rPr>
              </m:ctrlPr>
            </m:sSubPr>
            <m:e>
              <m:r>
                <m:rPr>
                  <m:nor/>
                  <m:sty m:val="p"/>
                </m:rPr>
                <w:rPr>
                  <w:rFonts w:hint="default" w:ascii="Times New Roman" w:hAnsi="Times New Roman" w:cs="Times New Roman"/>
                  <w:b w:val="0"/>
                  <w:i w:val="0"/>
                </w:rPr>
                <m:t>μ</m:t>
              </m:r>
              <m:ctrlPr>
                <w:rPr>
                  <w:rFonts w:hint="default" w:ascii="Cambria Math" w:hAnsi="Cambria Math" w:cs="Times New Roman"/>
                </w:rPr>
              </m:ctrlPr>
            </m:e>
            <m:sub>
              <m:r>
                <m:rPr>
                  <m:nor/>
                  <m:sty m:val="p"/>
                </m:rPr>
                <w:rPr>
                  <w:rFonts w:hint="default" w:ascii="Times New Roman" w:hAnsi="Times New Roman" w:cs="Times New Roman"/>
                  <w:b w:val="0"/>
                  <w:i w:val="0"/>
                </w:rPr>
                <m:t>s,in</m:t>
              </m:r>
              <m:ctrlPr>
                <w:rPr>
                  <w:rFonts w:hint="default" w:ascii="Cambria Math" w:hAnsi="Cambria Math" w:cs="Times New Roman"/>
                </w:rPr>
              </m:ctrlPr>
            </m:sub>
          </m:sSub>
          <m:r>
            <m:rPr>
              <m:nor/>
              <m:sty m:val="p"/>
            </m:rPr>
            <w:rPr>
              <w:rFonts w:hint="default" w:ascii="Times New Roman" w:hAnsi="Times New Roman" w:cs="Times New Roman"/>
              <w:b w:val="0"/>
              <w:i w:val="0"/>
            </w:rPr>
            <m:t>= 0.5 + DGC/2;</m:t>
          </m:r>
          <m:sSub>
            <m:sSubPr>
              <m:ctrlPr>
                <w:rPr>
                  <w:rFonts w:hint="default" w:ascii="Cambria Math" w:hAnsi="Cambria Math" w:cs="Times New Roman"/>
                </w:rPr>
              </m:ctrlPr>
            </m:sSubPr>
            <m:e>
              <m:r>
                <m:rPr>
                  <m:nor/>
                  <m:sty m:val="p"/>
                </m:rPr>
                <w:rPr>
                  <w:rFonts w:hint="default" w:ascii="Times New Roman" w:hAnsi="Times New Roman" w:cs="Times New Roman"/>
                  <w:b w:val="0"/>
                  <w:i w:val="0"/>
                </w:rPr>
                <m:t>μ</m:t>
              </m:r>
              <m:ctrlPr>
                <w:rPr>
                  <w:rFonts w:hint="default" w:ascii="Cambria Math" w:hAnsi="Cambria Math" w:cs="Times New Roman"/>
                </w:rPr>
              </m:ctrlPr>
            </m:e>
            <m:sub>
              <m:r>
                <m:rPr>
                  <m:nor/>
                  <m:sty m:val="p"/>
                </m:rPr>
                <w:rPr>
                  <w:rFonts w:hint="default" w:ascii="Times New Roman" w:hAnsi="Times New Roman" w:cs="Times New Roman"/>
                  <w:b w:val="0"/>
                  <w:i w:val="0"/>
                </w:rPr>
                <m:t>s,out</m:t>
              </m:r>
              <m:ctrlPr>
                <w:rPr>
                  <w:rFonts w:hint="default" w:ascii="Cambria Math" w:hAnsi="Cambria Math" w:cs="Times New Roman"/>
                </w:rPr>
              </m:ctrlPr>
            </m:sub>
          </m:sSub>
          <m:r>
            <m:rPr>
              <m:nor/>
              <m:sty m:val="p"/>
            </m:rPr>
            <w:rPr>
              <w:rFonts w:hint="default" w:ascii="Times New Roman" w:hAnsi="Times New Roman" w:cs="Times New Roman"/>
              <w:b w:val="0"/>
              <w:i w:val="0"/>
            </w:rPr>
            <m:t>= 0.5 − DGC/2.</m:t>
          </m:r>
        </m:oMath>
      </m:oMathPara>
    </w:p>
    <w:p>
      <w:pPr>
        <w:spacing w:before="0" w:after="100" w:line="254" w:lineRule="auto"/>
      </w:pPr>
      <w:r>
        <w:rPr>
          <w:rFonts w:ascii="Times New Roman" w:hAnsi="Times New Roman" w:eastAsia="SimSun"/>
          <w:b w:val="0"/>
          <w:i w:val="0"/>
          <w:color w:val="000000"/>
          <w:sz w:val="21"/>
        </w:rPr>
        <w:t>Symmetric truncated-normal quantiles (scale .10) and seeded permutations assign trust. Increasing DGC lowers population mean SOURCE trust from .500 to .432 and .364 because group sizes differ; DGC is therefore not a pure structural-network manipulation.</w:t>
      </w:r>
    </w:p>
    <w:p>
      <w:pPr>
        <w:sectPr>
          <w:footerReference r:id="rId5" w:type="default"/>
          <w:pgSz w:w="11905" w:h="16838"/>
          <w:pgMar w:top="950" w:right="1037" w:bottom="893" w:left="1037" w:header="346" w:footer="346" w:gutter="0"/>
          <w:cols w:space="720" w:num="1"/>
          <w:docGrid w:linePitch="360" w:charSpace="0"/>
        </w:sectPr>
      </w:pPr>
    </w:p>
    <w:p>
      <w:pPr>
        <w:pStyle w:val="3"/>
        <w:spacing w:before="160" w:after="100"/>
      </w:pPr>
      <w:r>
        <w:rPr>
          <w:rFonts w:ascii="Times New Roman" w:hAnsi="Times New Roman" w:eastAsia="SimSun"/>
          <w:b/>
          <w:i w:val="0"/>
          <w:color w:val="000000"/>
          <w:sz w:val="26"/>
        </w:rPr>
        <w:t>3 Integrated research framework</w:t>
      </w:r>
    </w:p>
    <w:p>
      <w:pPr>
        <w:keepNext/>
        <w:spacing w:after="0"/>
        <w:jc w:val="center"/>
      </w:pPr>
      <w:r>
        <w:drawing>
          <wp:inline xmlns:a="http://schemas.openxmlformats.org/drawingml/2006/main" xmlns:pic="http://schemas.openxmlformats.org/drawingml/2006/picture">
            <wp:extent cx="8503920" cy="5314762"/>
            <wp:docPr id="2" name="Picture 2"/>
            <wp:cNvGraphicFramePr>
              <a:graphicFrameLocks noChangeAspect="1"/>
            </wp:cNvGraphicFramePr>
            <a:graphic>
              <a:graphicData uri="http://schemas.openxmlformats.org/drawingml/2006/picture">
                <pic:pic>
                  <pic:nvPicPr>
                    <pic:cNvPr id="0" name="Figure2_FB_framework.png"/>
                    <pic:cNvPicPr/>
                  </pic:nvPicPr>
                  <pic:blipFill>
                    <a:blip r:embed="rId13"/>
                    <a:stretch>
                      <a:fillRect/>
                    </a:stretch>
                  </pic:blipFill>
                  <pic:spPr>
                    <a:xfrm>
                      <a:off x="0" y="0"/>
                      <a:ext cx="8503920" cy="5314762"/>
                    </a:xfrm>
                    <a:prstGeom prst="rect"/>
                  </pic:spPr>
                </pic:pic>
              </a:graphicData>
            </a:graphic>
          </wp:inline>
        </w:drawing>
      </w:r>
    </w:p>
    <w:p>
      <w:pPr>
        <w:pStyle w:val="15"/>
        <w:spacing w:before="0" w:after="100" w:line="240" w:lineRule="auto"/>
        <w:ind w:left="685" w:right="685"/>
      </w:pPr>
      <w:r>
        <w:rPr>
          <w:rFonts w:ascii="Times New Roman" w:hAnsi="Times New Roman" w:eastAsia="SimSun"/>
          <w:b w:val="0"/>
          <w:i w:val="0"/>
          <w:color w:val="000000"/>
          <w:sz w:val="18"/>
        </w:rPr>
        <w:t>Figure 2  Model framework and first-belief TBU. Left: the factorial design and tested moderation paths. Center: four actor roles and the synchronous decision cycle. Right: FB level means, DGC interaction contrasts and RT level differences. Contrasts compare high-minus-low effects between DGC=.4 and 0 (RT 7−2; TC .8−.2; GC .75−.25). Whiskers are pointwise HC3 95% intervals; adjusted p values retain the previously tested comparison families. Publishers are scripted; all audience users call the LLM.</w:t>
      </w:r>
    </w:p>
    <w:p>
      <w:pPr>
        <w:sectPr>
          <w:pgSz w:w="16838" w:h="11905"/>
          <w:pgMar w:top="950" w:right="1037" w:bottom="893" w:left="1037" w:header="346" w:footer="346" w:gutter="0"/>
          <w:cols w:space="720" w:num="1"/>
          <w:docGrid w:linePitch="360" w:charSpace="0"/>
        </w:sectPr>
      </w:pPr>
    </w:p>
    <w:p>
      <w:pPr>
        <w:pStyle w:val="3"/>
        <w:spacing w:before="160" w:after="100"/>
      </w:pPr>
      <w:r>
        <w:rPr>
          <w:rFonts w:ascii="Times New Roman" w:hAnsi="Times New Roman" w:eastAsia="SimSun"/>
          <w:b/>
          <w:i w:val="0"/>
          <w:color w:val="000000"/>
          <w:sz w:val="26"/>
        </w:rPr>
        <w:t>4 Agent decisions and TBU measurement</w:t>
      </w:r>
    </w:p>
    <w:p>
      <w:pPr>
        <w:spacing w:before="0" w:after="100" w:line="254" w:lineRule="auto"/>
      </w:pPr>
      <w:r>
        <w:rPr>
          <w:rFonts w:ascii="Times New Roman" w:hAnsi="Times New Roman" w:eastAsia="SimSun"/>
          <w:b w:val="0"/>
          <w:i w:val="0"/>
          <w:color w:val="000000"/>
          <w:sz w:val="22"/>
        </w:rPr>
        <w:t>Synthetic profiles vary in age (18–74), region, occupation, community-project experience, all 16 MBTI types, verification preference, sharing propensity and repetition sensitivity. For each exposed user, MiniMax-M3 receives all 11 assigned conditions, previous score, actual exposures, current material and retained history. It returns an overall score, three component scores and optional comment/repost choices. Only the overall score classifies belief: &gt;50 is believe; ≤50 is reject. Unjudged is a null baseline for users not yet assessed.</w:t>
      </w:r>
    </w:p>
    <w:p>
      <w:pPr>
        <w:spacing w:before="0" w:after="100" w:line="254" w:lineRule="auto"/>
      </w:pPr>
      <w:r>
        <w:rPr>
          <w:rFonts w:ascii="Times New Roman" w:hAnsi="Times New Roman" w:eastAsia="SimSun"/>
          <w:b w:val="0"/>
          <w:i w:val="0"/>
          <w:color w:val="000000"/>
          <w:sz w:val="22"/>
        </w:rPr>
        <w:t>Higher SOURCE trust is prompted to strengthen source persuasiveness. Government trust weights the official response only after actual exposure. Individual values below 1/3, from 1/3 to below 2/3 and at least 2/3 receive cautious, conditional and more favorable descriptions of government competence and reliability. These are modeling assumptions; the program does not impose a fixed trust-weighted score or mandatory point change.</w:t>
      </w:r>
    </w:p>
    <w:p>
      <w:pPr>
        <w:spacing w:before="0" w:after="100" w:line="254" w:lineRule="auto"/>
      </w:pPr>
      <w:r>
        <w:rPr>
          <w:rFonts w:ascii="Times New Roman" w:hAnsi="Times New Roman" w:eastAsia="SimSun"/>
          <w:b w:val="0"/>
          <w:i w:val="0"/>
          <w:color w:val="000000"/>
          <w:sz w:val="22"/>
        </w:rPr>
        <w:t>For repeat readings beyond the first, n, the prompt uses a saturating familiarity signal. With repetition sensitivity ρ, verification preference v and baseline sharing propensity p:</w:t>
      </w:r>
    </w:p>
    <w:p w14:paraId="46033473">
      <w:pPr>
        <w:spacing w:before="0" w:after="60" w:line="240" w:lineRule="auto"/>
        <w:jc w:val="center"/>
        <w:rPr>
          <w:rFonts w:hint="default" w:ascii="Times New Roman" w:hAnsi="Times New Roman" w:cs="Times New Roman"/>
        </w:rPr>
      </w:pPr>
      <m:oMathPara>
        <m:oMath>
          <m:r>
            <m:rPr>
              <m:nor/>
              <m:sty m:val="p"/>
            </m:rPr>
            <w:rPr>
              <w:rFonts w:hint="default" w:ascii="Times New Roman" w:hAnsi="Times New Roman" w:cs="Times New Roman"/>
              <w:b w:val="0"/>
              <w:i w:val="0"/>
            </w:rPr>
            <m:t>h = 1 − exp(−n/3).</m:t>
          </m:r>
        </m:oMath>
      </m:oMathPara>
    </w:p>
    <w:p w14:paraId="7DFEB972">
      <w:pPr>
        <w:spacing w:before="0" w:after="60" w:line="240" w:lineRule="auto"/>
        <w:jc w:val="center"/>
        <w:rPr>
          <w:rFonts w:hint="default" w:ascii="Times New Roman" w:hAnsi="Times New Roman" w:cs="Times New Roman"/>
        </w:rPr>
      </w:pPr>
      <m:oMathPara>
        <m:oMath>
          <m:r>
            <m:rPr>
              <m:nor/>
              <m:sty m:val="p"/>
            </m:rPr>
            <w:rPr>
              <w:rFonts w:hint="default" w:ascii="Times New Roman" w:hAnsi="Times New Roman" w:cs="Times New Roman"/>
              <w:b w:val="0"/>
              <w:i w:val="0"/>
            </w:rPr>
            <m:t>Δf = 0.35ρ(1 − 0.5v)h;</m:t>
          </m:r>
          <m:sSup>
            <m:sSupPr>
              <m:ctrlPr>
                <w:rPr>
                  <w:rFonts w:hint="default" w:ascii="Cambria Math" w:hAnsi="Cambria Math" w:cs="Times New Roman"/>
                </w:rPr>
              </m:ctrlPr>
            </m:sSupPr>
            <m:e>
              <m:r>
                <m:rPr>
                  <m:nor/>
                  <m:sty m:val="p"/>
                </m:rPr>
                <w:rPr>
                  <w:rFonts w:hint="default" w:ascii="Times New Roman" w:hAnsi="Times New Roman" w:cs="Times New Roman"/>
                  <w:b w:val="0"/>
                  <w:i w:val="0"/>
                </w:rPr>
                <m:t>p</m:t>
              </m:r>
              <m:ctrlPr>
                <w:rPr>
                  <w:rFonts w:hint="default" w:ascii="Cambria Math" w:hAnsi="Cambria Math" w:cs="Times New Roman"/>
                </w:rPr>
              </m:ctrlPr>
            </m:e>
            <m:sup>
              <m:r>
                <m:rPr>
                  <m:nor/>
                  <m:sty m:val="p"/>
                </m:rPr>
                <w:rPr>
                  <w:rFonts w:hint="default" w:ascii="Times New Roman" w:hAnsi="Times New Roman" w:cs="Times New Roman"/>
                  <w:b w:val="0"/>
                  <w:i w:val="0"/>
                </w:rPr>
                <m:t>∗</m:t>
              </m:r>
              <m:ctrlPr>
                <w:rPr>
                  <w:rFonts w:hint="default" w:ascii="Cambria Math" w:hAnsi="Cambria Math" w:cs="Times New Roman"/>
                </w:rPr>
              </m:ctrlPr>
            </m:sup>
          </m:sSup>
          <m:r>
            <m:rPr>
              <m:nor/>
              <m:sty m:val="p"/>
            </m:rPr>
            <w:rPr>
              <w:rFonts w:hint="default" w:ascii="Times New Roman" w:hAnsi="Times New Roman" w:cs="Times New Roman"/>
              <w:b w:val="0"/>
              <w:i w:val="0"/>
            </w:rPr>
            <m:t>= min(0.95, p + 0.25ρh).</m:t>
          </m:r>
        </m:oMath>
      </m:oMathPara>
    </w:p>
    <w:p>
      <w:pPr>
        <w:spacing w:before="0" w:after="100" w:line="254" w:lineRule="auto"/>
      </w:pPr>
      <w:r>
        <w:rPr>
          <w:rFonts w:ascii="Times New Roman" w:hAnsi="Times New Roman" w:eastAsia="SimSun"/>
          <w:b w:val="0"/>
          <w:i w:val="0"/>
          <w:color w:val="000000"/>
          <w:sz w:val="22"/>
        </w:rPr>
        <w:t>The coefficients are study settings. History covers the previous three rounds; scores, cumulative exposures and repost flags persist. Each accessible root shows its latest 30 earlier comments, including non-followee comments. A user may comment on one visible root and repost one root per round; each root can be reposted only once per user. New actions appear in the next round. Reposts are not independent verification and may express disagreement.</w:t>
      </w:r>
    </w:p>
    <w:p>
      <w:pPr>
        <w:pStyle w:val="4"/>
        <w:spacing w:before="160" w:after="100"/>
      </w:pPr>
      <w:r>
        <w:rPr>
          <w:rFonts w:ascii="Times New Roman" w:hAnsi="Times New Roman" w:eastAsia="SimSun"/>
          <w:b/>
          <w:i w:val="0"/>
          <w:color w:val="000000"/>
          <w:sz w:val="23"/>
        </w:rPr>
        <w:t>First belief to an observed update</w:t>
      </w:r>
    </w:p>
    <w:p>
      <w:pPr>
        <w:spacing w:before="0" w:after="100" w:line="254" w:lineRule="auto"/>
      </w:pPr>
      <w:r>
        <w:rPr>
          <w:rFonts w:ascii="Times New Roman" w:hAnsi="Times New Roman" w:eastAsia="SimSun"/>
          <w:b w:val="0"/>
          <w:i w:val="0"/>
          <w:color w:val="000000"/>
          <w:sz w:val="22"/>
        </w:rPr>
        <w:t>For user i in scenario s, b is the first observed score&gt;50; r is the first actual believe-to-reject transition in or after publication round RT. Because publication precedes that round’s decisions, r=RT qualifies. TBU starts at first belief:</w:t>
      </w:r>
    </w:p>
    <w:p>
      <w:pPr>
        <w:spacing w:after="80"/>
        <w:jc w:val="center"/>
      </w:pPr>
      <m:oMathPara>
        <m:oMath>
          <m:sSub>
            <m:e>
              <m:r>
                <m:rPr>
                  <m:sty m:val="p"/>
                </m:rPr>
                <m:t>TBU</m:t>
              </m:r>
            </m:e>
            <m:sub>
              <m:r>
                <m:rPr>
                  <m:sty m:val="p"/>
                </m:rPr>
                <m:t>is</m:t>
              </m:r>
            </m:sub>
          </m:sSub>
          <m:r>
            <m:rPr>
              <m:sty m:val="p"/>
            </m:rPr>
            <m:t> = </m:t>
          </m:r>
          <m:sSub>
            <m:e>
              <m:r>
                <m:rPr>
                  <m:sty m:val="p"/>
                </m:rPr>
                <m:t>r</m:t>
              </m:r>
            </m:e>
            <m:sub>
              <m:r>
                <m:rPr>
                  <m:sty m:val="p"/>
                </m:rPr>
                <m:t>is</m:t>
              </m:r>
            </m:sub>
          </m:sSub>
          <m:r>
            <m:rPr>
              <m:sty m:val="p"/>
            </m:rPr>
            <m:t> − </m:t>
          </m:r>
          <m:sSub>
            <m:e>
              <m:r>
                <m:rPr>
                  <m:sty m:val="p"/>
                </m:rPr>
                <m:t>b</m:t>
              </m:r>
            </m:e>
            <m:sub>
              <m:r>
                <m:rPr>
                  <m:sty m:val="p"/>
                </m:rPr>
                <m:t>is</m:t>
              </m:r>
            </m:sub>
          </m:sSub>
          <m:r>
            <m:rPr>
              <m:sty m:val="p"/>
            </m:rPr>
            <m:t>,   </m:t>
          </m:r>
          <m:sSub>
            <m:e>
              <m:r>
                <m:rPr>
                  <m:sty m:val="p"/>
                </m:rPr>
                <m:t>r</m:t>
              </m:r>
            </m:e>
            <m:sub>
              <m:r>
                <m:rPr>
                  <m:sty m:val="p"/>
                </m:rPr>
                <m:t>is</m:t>
              </m:r>
            </m:sub>
          </m:sSub>
          <m:r>
            <m:rPr>
              <m:sty m:val="p"/>
            </m:rPr>
            <m:t> ≥ </m:t>
          </m:r>
          <m:sSub>
            <m:e>
              <m:r>
                <m:rPr>
                  <m:sty m:val="p"/>
                </m:rPr>
                <m:t>RT</m:t>
              </m:r>
            </m:e>
            <m:sub>
              <m:r>
                <m:rPr>
                  <m:sty m:val="p"/>
                </m:rPr>
                <m:t>s</m:t>
              </m:r>
            </m:sub>
          </m:sSub>
          <m:r>
            <m:rPr>
              <m:sty m:val="p"/>
            </m:rPr>
            <m:t>;   </m:t>
          </m:r>
          <m:sSub>
            <m:e>
              <m:r>
                <m:rPr>
                  <m:sty m:val="p"/>
                </m:rPr>
                <m:t>TBU</m:t>
              </m:r>
            </m:e>
            <m:sub>
              <m:r>
                <m:rPr>
                  <m:sty m:val="p"/>
                </m:rPr>
                <m:t>s</m:t>
              </m:r>
            </m:sub>
          </m:sSub>
          <m:r>
            <m:rPr>
              <m:sty m:val="p"/>
            </m:rPr>
            <m:t> = mean(</m:t>
          </m:r>
          <m:sSub>
            <m:e>
              <m:r>
                <m:rPr>
                  <m:sty m:val="p"/>
                </m:rPr>
                <m:t>TBU</m:t>
              </m:r>
            </m:e>
            <m:sub>
              <m:r>
                <m:rPr>
                  <m:sty m:val="p"/>
                </m:rPr>
                <m:t>is</m:t>
              </m:r>
            </m:sub>
          </m:sSub>
          <m:r>
            <m:rPr>
              <m:sty m:val="p"/>
            </m:rPr>
            <m:t>).</m:t>
          </m:r>
        </m:oMath>
      </m:oMathPara>
    </w:p>
    <w:p>
      <w:pPr>
        <w:pStyle w:val="15"/>
        <w:keepNext/>
        <w:spacing w:before="0" w:after="100" w:line="240" w:lineRule="auto"/>
      </w:pPr>
      <w:r>
        <w:rPr>
          <w:rFonts w:ascii="Times New Roman" w:hAnsi="Times New Roman" w:eastAsia="SimSun"/>
          <w:b w:val="0"/>
          <w:i w:val="0"/>
          <w:color w:val="000000"/>
          <w:sz w:val="18"/>
        </w:rPr>
        <w:t>Table 2  Outcome accounting among 16,200 user-scenario instances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75" w:type="dxa"/>
          <w:right w:w="75" w:type="dxa"/>
        </w:tblCellMar>
      </w:tblPr>
      <w:tblGrid>
        <w:gridCol w:w="2376"/>
        <w:gridCol w:w="792"/>
        <w:gridCol w:w="6552"/>
      </w:tblGrid>
      <w:tr>
        <w:trPr>
          <w:tblHeader/>
          <w:cantSplit/>
        </w:trPr>
        <w:tc>
          <w:tcPr>
            <w:tcW w:type="dxa" w:w="2376"/>
            <w:vAlign w:val="center"/>
            <w:shd w:fill="E5ECF1"/>
          </w:tcPr>
          <w:p>
            <w:pPr>
              <w:keepNext/>
              <w:spacing w:after="0" w:before="0" w:line="245" w:lineRule="auto"/>
              <w:jc w:val="left"/>
            </w:pPr>
            <w:r>
              <w:rPr>
                <w:rFonts w:ascii="Times New Roman" w:hAnsi="Times New Roman" w:eastAsia="SimSun"/>
                <w:b/>
                <w:i w:val="0"/>
                <w:color w:val="000000"/>
                <w:sz w:val="18"/>
              </w:rPr>
              <w:t>Outcome</w:t>
            </w:r>
          </w:p>
        </w:tc>
        <w:tc>
          <w:tcPr>
            <w:tcW w:type="dxa" w:w="792"/>
            <w:vAlign w:val="center"/>
            <w:shd w:fill="E5ECF1"/>
          </w:tcPr>
          <w:p>
            <w:pPr>
              <w:keepNext/>
              <w:spacing w:after="0" w:before="0" w:line="245" w:lineRule="auto"/>
              <w:jc w:val="left"/>
            </w:pPr>
            <w:r>
              <w:rPr>
                <w:rFonts w:ascii="Times New Roman" w:hAnsi="Times New Roman" w:eastAsia="SimSun"/>
                <w:b/>
                <w:i w:val="0"/>
                <w:color w:val="000000"/>
                <w:sz w:val="18"/>
              </w:rPr>
              <w:t>Count</w:t>
            </w:r>
          </w:p>
        </w:tc>
        <w:tc>
          <w:tcPr>
            <w:tcW w:type="dxa" w:w="6552"/>
            <w:vAlign w:val="center"/>
            <w:shd w:fill="E5ECF1"/>
          </w:tcPr>
          <w:p>
            <w:pPr>
              <w:keepNext/>
              <w:spacing w:after="0" w:before="0" w:line="245" w:lineRule="auto"/>
              <w:jc w:val="left"/>
            </w:pPr>
            <w:r>
              <w:rPr>
                <w:rFonts w:ascii="Times New Roman" w:hAnsi="Times New Roman" w:eastAsia="SimSun"/>
                <w:b/>
                <w:i w:val="0"/>
                <w:color w:val="000000"/>
                <w:sz w:val="18"/>
              </w:rPr>
              <w:t>Treatment in the TBU analysis</w:t>
            </w:r>
          </w:p>
        </w:tc>
      </w:tr>
      <w:tr>
        <w:trPr>
          <w:cantSplit/>
        </w:trPr>
        <w:tc>
          <w:tcPr>
            <w:tcW w:type="dxa" w:w="2376"/>
            <w:vAlign w:val="center"/>
          </w:tcPr>
          <w:p>
            <w:pPr>
              <w:spacing w:after="0" w:before="0" w:line="245" w:lineRule="auto"/>
              <w:jc w:val="left"/>
            </w:pPr>
            <w:r>
              <w:rPr>
                <w:rFonts w:ascii="Times New Roman" w:hAnsi="Times New Roman" w:eastAsia="SimSun"/>
                <w:b w:val="0"/>
                <w:i w:val="0"/>
                <w:color w:val="000000"/>
                <w:sz w:val="18"/>
              </w:rPr>
              <w:t>Qualifying observed updates</w:t>
            </w:r>
          </w:p>
        </w:tc>
        <w:tc>
          <w:tcPr>
            <w:tcW w:type="dxa" w:w="792"/>
            <w:vAlign w:val="center"/>
          </w:tcPr>
          <w:p>
            <w:pPr>
              <w:spacing w:after="0" w:before="0" w:line="245" w:lineRule="auto"/>
              <w:jc w:val="left"/>
            </w:pPr>
            <w:r>
              <w:rPr>
                <w:rFonts w:ascii="Times New Roman" w:hAnsi="Times New Roman" w:eastAsia="SimSun"/>
                <w:b w:val="0"/>
                <w:i w:val="0"/>
                <w:color w:val="000000"/>
                <w:sz w:val="18"/>
              </w:rPr>
              <w:t>757</w:t>
            </w:r>
          </w:p>
        </w:tc>
        <w:tc>
          <w:tcPr>
            <w:tcW w:type="dxa" w:w="6552"/>
            <w:vAlign w:val="center"/>
          </w:tcPr>
          <w:p>
            <w:pPr>
              <w:spacing w:after="0" w:before="0" w:line="245" w:lineRule="auto"/>
              <w:jc w:val="left"/>
            </w:pPr>
            <w:r>
              <w:rPr>
                <w:rFonts w:ascii="Times New Roman" w:hAnsi="Times New Roman" w:eastAsia="SimSun"/>
                <w:b w:val="0"/>
                <w:i w:val="0"/>
                <w:color w:val="000000"/>
                <w:sz w:val="18"/>
              </w:rPr>
              <w:t>54 scenario means; 282 in the publication round and 475 later.</w:t>
            </w:r>
          </w:p>
        </w:tc>
      </w:tr>
      <w:tr>
        <w:trPr>
          <w:cantSplit/>
        </w:trPr>
        <w:tc>
          <w:tcPr>
            <w:tcW w:type="dxa" w:w="2376"/>
            <w:vAlign w:val="center"/>
          </w:tcPr>
          <w:p>
            <w:pPr>
              <w:spacing w:after="0" w:before="0" w:line="245" w:lineRule="auto"/>
              <w:jc w:val="left"/>
            </w:pPr>
            <w:r>
              <w:rPr>
                <w:rFonts w:ascii="Times New Roman" w:hAnsi="Times New Roman" w:eastAsia="SimSun"/>
                <w:b w:val="0"/>
                <w:i w:val="0"/>
                <w:color w:val="000000"/>
                <w:sz w:val="18"/>
              </w:rPr>
              <w:t>Unresolved first episodes</w:t>
            </w:r>
          </w:p>
        </w:tc>
        <w:tc>
          <w:tcPr>
            <w:tcW w:type="dxa" w:w="792"/>
            <w:vAlign w:val="center"/>
          </w:tcPr>
          <w:p>
            <w:pPr>
              <w:spacing w:after="0" w:before="0" w:line="245" w:lineRule="auto"/>
              <w:jc w:val="left"/>
            </w:pPr>
            <w:r>
              <w:rPr>
                <w:rFonts w:ascii="Times New Roman" w:hAnsi="Times New Roman" w:eastAsia="SimSun"/>
                <w:b w:val="0"/>
                <w:i w:val="0"/>
                <w:color w:val="000000"/>
                <w:sz w:val="18"/>
              </w:rPr>
              <w:t>222</w:t>
            </w:r>
          </w:p>
        </w:tc>
        <w:tc>
          <w:tcPr>
            <w:tcW w:type="dxa" w:w="6552"/>
            <w:vAlign w:val="center"/>
          </w:tcPr>
          <w:p>
            <w:pPr>
              <w:spacing w:after="0" w:before="0" w:line="245" w:lineRule="auto"/>
              <w:jc w:val="left"/>
            </w:pPr>
            <w:r>
              <w:rPr>
                <w:rFonts w:ascii="Times New Roman" w:hAnsi="Times New Roman" w:eastAsia="SimSun"/>
                <w:b w:val="0"/>
                <w:i w:val="0"/>
                <w:color w:val="000000"/>
                <w:sz w:val="18"/>
              </w:rPr>
              <w:t>Right-censored at round 10; exclude from the converter mean.</w:t>
            </w:r>
          </w:p>
        </w:tc>
      </w:tr>
      <w:tr>
        <w:trPr>
          <w:cantSplit/>
        </w:trPr>
        <w:tc>
          <w:tcPr>
            <w:tcW w:type="dxa" w:w="2376"/>
            <w:vAlign w:val="center"/>
          </w:tcPr>
          <w:p>
            <w:pPr>
              <w:spacing w:after="0" w:before="0" w:line="245" w:lineRule="auto"/>
              <w:jc w:val="left"/>
            </w:pPr>
            <w:r>
              <w:rPr>
                <w:rFonts w:ascii="Times New Roman" w:hAnsi="Times New Roman" w:eastAsia="SimSun"/>
                <w:b w:val="0"/>
                <w:i w:val="0"/>
                <w:color w:val="000000"/>
                <w:sz w:val="18"/>
              </w:rPr>
              <w:t>Resolved before publication</w:t>
            </w:r>
          </w:p>
        </w:tc>
        <w:tc>
          <w:tcPr>
            <w:tcW w:type="dxa" w:w="792"/>
            <w:vAlign w:val="center"/>
          </w:tcPr>
          <w:p>
            <w:pPr>
              <w:spacing w:after="0" w:before="0" w:line="245" w:lineRule="auto"/>
              <w:jc w:val="left"/>
            </w:pPr>
            <w:r>
              <w:rPr>
                <w:rFonts w:ascii="Times New Roman" w:hAnsi="Times New Roman" w:eastAsia="SimSun"/>
                <w:b w:val="0"/>
                <w:i w:val="0"/>
                <w:color w:val="000000"/>
                <w:sz w:val="18"/>
              </w:rPr>
              <w:t>1</w:t>
            </w:r>
          </w:p>
        </w:tc>
        <w:tc>
          <w:tcPr>
            <w:tcW w:type="dxa" w:w="6552"/>
            <w:vAlign w:val="center"/>
          </w:tcPr>
          <w:p>
            <w:pPr>
              <w:spacing w:after="0" w:before="0" w:line="245" w:lineRule="auto"/>
              <w:jc w:val="left"/>
            </w:pPr>
            <w:r>
              <w:rPr>
                <w:rFonts w:ascii="Times New Roman" w:hAnsi="Times New Roman" w:eastAsia="SimSun"/>
                <w:b w:val="0"/>
                <w:i w:val="0"/>
                <w:color w:val="000000"/>
                <w:sz w:val="18"/>
              </w:rPr>
              <w:t>Exclude from the post-publication update endpoint.</w:t>
            </w:r>
          </w:p>
        </w:tc>
      </w:tr>
      <w:tr>
        <w:trPr>
          <w:cantSplit/>
        </w:trPr>
        <w:tc>
          <w:tcPr>
            <w:tcW w:type="dxa" w:w="2376"/>
            <w:vAlign w:val="center"/>
          </w:tcPr>
          <w:p>
            <w:pPr>
              <w:spacing w:after="0" w:before="0" w:line="245" w:lineRule="auto"/>
              <w:jc w:val="left"/>
            </w:pPr>
            <w:r>
              <w:rPr>
                <w:rFonts w:ascii="Times New Roman" w:hAnsi="Times New Roman" w:eastAsia="SimSun"/>
                <w:b w:val="0"/>
                <w:i w:val="0"/>
                <w:color w:val="000000"/>
                <w:sz w:val="18"/>
              </w:rPr>
              <w:t>Never believed</w:t>
            </w:r>
          </w:p>
        </w:tc>
        <w:tc>
          <w:tcPr>
            <w:tcW w:type="dxa" w:w="792"/>
            <w:vAlign w:val="center"/>
          </w:tcPr>
          <w:p>
            <w:pPr>
              <w:spacing w:after="0" w:before="0" w:line="245" w:lineRule="auto"/>
              <w:jc w:val="left"/>
            </w:pPr>
            <w:r>
              <w:rPr>
                <w:rFonts w:ascii="Times New Roman" w:hAnsi="Times New Roman" w:eastAsia="SimSun"/>
                <w:b w:val="0"/>
                <w:i w:val="0"/>
                <w:color w:val="000000"/>
                <w:sz w:val="18"/>
              </w:rPr>
              <w:t>15,220</w:t>
            </w:r>
          </w:p>
        </w:tc>
        <w:tc>
          <w:tcPr>
            <w:tcW w:type="dxa" w:w="6552"/>
            <w:vAlign w:val="center"/>
          </w:tcPr>
          <w:p>
            <w:pPr>
              <w:spacing w:after="0" w:before="0" w:line="245" w:lineRule="auto"/>
              <w:jc w:val="left"/>
            </w:pPr>
            <w:r>
              <w:rPr>
                <w:rFonts w:ascii="Times New Roman" w:hAnsi="Times New Roman" w:eastAsia="SimSun"/>
                <w:b w:val="0"/>
                <w:i w:val="0"/>
                <w:color w:val="000000"/>
                <w:sz w:val="18"/>
              </w:rPr>
              <w:t>No belief onset; TBU is not defined.</w:t>
            </w:r>
          </w:p>
        </w:tc>
      </w:tr>
    </w:tbl>
    <w:p>
      <w:pPr>
        <w:pStyle w:val="15"/>
        <w:spacing w:before="0" w:after="100" w:line="240" w:lineRule="auto"/>
      </w:pPr>
      <w:r>
        <w:rPr>
          <w:rFonts w:ascii="Times New Roman" w:hAnsi="Times New Roman" w:eastAsia="SimSun"/>
          <w:b w:val="0"/>
          <w:i w:val="0"/>
          <w:color w:val="000000"/>
          <w:sz w:val="18"/>
        </w:rPr>
        <w:t>980 instances ever believed. Unresolved outcomes are not zero or interpolated. First updating events remain recorded after any later relapse.</w:t>
      </w:r>
    </w:p>
    <w:p>
      <w:pPr>
        <w:spacing w:before="0" w:after="100" w:line="254" w:lineRule="auto"/>
      </w:pPr>
      <w:r>
        <w:rPr>
          <w:rFonts w:ascii="Times New Roman" w:hAnsi="Times New Roman" w:eastAsia="SimSun"/>
          <w:b w:val="0"/>
          <w:i w:val="0"/>
          <w:color w:val="000000"/>
          <w:sz w:val="21"/>
        </w:rPr>
        <w:t>Scenario means are equally weighted. Categorical additive models test level differences. Numeric M1 includes RT, TC and GC; M2 adds DGC; M3 adds its interactions with RT, TC and GC. Inputs are centered at RT=13/3, TC=GC=.5 and DGC=.2 without rescaling. HC3 F/t inference uses pointwise 95% intervals. FB was retained after exploratory endpoint review, so existing multiplicity families are preserved: 8 level tests, 20 pairwise contrasts, 8 main slopes and 6 interactions. Only FB results are presented.</w:t>
      </w:r>
    </w:p>
    <w:p>
      <w:r>
        <w:br w:type="page"/>
      </w:r>
    </w:p>
    <w:p>
      <w:pPr>
        <w:pStyle w:val="3"/>
        <w:spacing w:before="160" w:after="100"/>
      </w:pPr>
      <w:r>
        <w:rPr>
          <w:rFonts w:ascii="Times New Roman" w:hAnsi="Times New Roman" w:eastAsia="SimSun"/>
          <w:b/>
          <w:i w:val="0"/>
          <w:color w:val="000000"/>
          <w:sz w:val="26"/>
        </w:rPr>
        <w:t>5 Differences across factor levels</w:t>
      </w:r>
    </w:p>
    <w:p>
      <w:pPr>
        <w:spacing w:before="0" w:after="100" w:line="254" w:lineRule="auto"/>
      </w:pPr>
      <w:r>
        <w:rPr>
          <w:rFonts w:ascii="Times New Roman" w:hAnsi="Times New Roman" w:eastAsia="SimSun"/>
          <w:b w:val="0"/>
          <w:i w:val="0"/>
          <w:color w:val="000000"/>
          <w:sz w:val="22"/>
        </w:rPr>
        <w:t>All 54 scenarios completed ten rounds (540/540). The mean of scenario TBU values is 4.557 steps; pooling the 757 observed updates gives 4.428 steps. Regression uses the 54 scenario means. Adjusted categorical tests support RT, TC and GC differences after the retained Holm correction. DGC has no significant overall level difference.</w:t>
      </w:r>
    </w:p>
    <w:p>
      <w:pPr>
        <w:keepNext/>
        <w:spacing w:after="0"/>
        <w:jc w:val="center"/>
      </w:pPr>
      <w:r>
        <w:drawing>
          <wp:inline xmlns:a="http://schemas.openxmlformats.org/drawingml/2006/main" xmlns:pic="http://schemas.openxmlformats.org/drawingml/2006/picture">
            <wp:extent cx="6172200" cy="3449171"/>
            <wp:docPr id="3" name="Picture 3"/>
            <wp:cNvGraphicFramePr>
              <a:graphicFrameLocks noChangeAspect="1"/>
            </wp:cNvGraphicFramePr>
            <a:graphic>
              <a:graphicData uri="http://schemas.openxmlformats.org/drawingml/2006/picture">
                <pic:pic>
                  <pic:nvPicPr>
                    <pic:cNvPr id="0" name="Figure3_FB_level_differences.png"/>
                    <pic:cNvPicPr/>
                  </pic:nvPicPr>
                  <pic:blipFill>
                    <a:blip r:embed="rId14"/>
                    <a:stretch>
                      <a:fillRect/>
                    </a:stretch>
                  </pic:blipFill>
                  <pic:spPr>
                    <a:xfrm>
                      <a:off x="0" y="0"/>
                      <a:ext cx="6172200" cy="3449171"/>
                    </a:xfrm>
                    <a:prstGeom prst="rect"/>
                  </pic:spPr>
                </pic:pic>
              </a:graphicData>
            </a:graphic>
          </wp:inline>
        </w:drawing>
      </w:r>
    </w:p>
    <w:p>
      <w:pPr>
        <w:pStyle w:val="15"/>
        <w:spacing w:before="0" w:after="100" w:line="240" w:lineRule="auto"/>
      </w:pPr>
      <w:r>
        <w:rPr>
          <w:rFonts w:ascii="Times New Roman" w:hAnsi="Times New Roman" w:eastAsia="SimSun"/>
          <w:b w:val="0"/>
          <w:i w:val="0"/>
          <w:color w:val="000000"/>
          <w:sz w:val="18"/>
        </w:rPr>
        <w:t>Figure 3  Adjusted first-belief TBU across factor levels. Predictions average equally over the full factorial grid; 54 scenario means are observed. Error bars are pointwise HC3 95% intervals. Displayed adjusted p values retain the original eight-test omnibus family.</w:t>
      </w:r>
    </w:p>
    <w:p>
      <w:pPr>
        <w:pStyle w:val="15"/>
        <w:keepNext/>
        <w:spacing w:before="0" w:after="100" w:line="240" w:lineRule="auto"/>
      </w:pPr>
      <w:r>
        <w:rPr>
          <w:rFonts w:ascii="Times New Roman" w:hAnsi="Times New Roman" w:eastAsia="SimSun"/>
          <w:b w:val="0"/>
          <w:i w:val="0"/>
          <w:color w:val="000000"/>
          <w:sz w:val="18"/>
        </w:rPr>
        <w:t>Table 3  Level tests and high-minus-low contrasts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75" w:type="dxa"/>
          <w:right w:w="75" w:type="dxa"/>
        </w:tblCellMar>
      </w:tblPr>
      <w:tblGrid>
        <w:gridCol w:w="720"/>
        <w:gridCol w:w="1224"/>
        <w:gridCol w:w="1152"/>
        <w:gridCol w:w="2088"/>
        <w:gridCol w:w="3312"/>
        <w:gridCol w:w="1224"/>
      </w:tblGrid>
      <w:tr>
        <w:trPr>
          <w:tblHeader/>
          <w:cantSplit/>
        </w:trPr>
        <w:tc>
          <w:tcPr>
            <w:tcW w:type="dxa" w:w="720"/>
            <w:vAlign w:val="center"/>
            <w:shd w:fill="E5ECF1"/>
          </w:tcPr>
          <w:p>
            <w:pPr>
              <w:keepNext/>
              <w:spacing w:after="0" w:before="0" w:line="245" w:lineRule="auto"/>
              <w:jc w:val="left"/>
            </w:pPr>
            <w:r>
              <w:rPr>
                <w:rFonts w:ascii="Times New Roman" w:hAnsi="Times New Roman" w:eastAsia="SimSun"/>
                <w:b/>
                <w:i w:val="0"/>
                <w:color w:val="000000"/>
                <w:sz w:val="18"/>
              </w:rPr>
              <w:t>Factor</w:t>
            </w:r>
          </w:p>
        </w:tc>
        <w:tc>
          <w:tcPr>
            <w:tcW w:type="dxa" w:w="1224"/>
            <w:vAlign w:val="center"/>
            <w:shd w:fill="E5ECF1"/>
          </w:tcPr>
          <w:p>
            <w:pPr>
              <w:keepNext/>
              <w:spacing w:after="0" w:before="0" w:line="245" w:lineRule="auto"/>
              <w:jc w:val="center"/>
            </w:pPr>
            <w:r>
              <w:rPr>
                <w:rFonts w:ascii="Times New Roman" w:hAnsi="Times New Roman" w:eastAsia="SimSun"/>
                <w:b/>
                <w:i w:val="0"/>
                <w:color w:val="000000"/>
                <w:sz w:val="18"/>
              </w:rPr>
              <w:t>F(df)</w:t>
            </w:r>
          </w:p>
        </w:tc>
        <w:tc>
          <w:tcPr>
            <w:tcW w:type="dxa" w:w="1152"/>
            <w:vAlign w:val="center"/>
            <w:shd w:fill="E5ECF1"/>
          </w:tcPr>
          <w:p>
            <w:pPr>
              <w:keepNext/>
              <w:spacing w:after="0" w:before="0" w:line="245" w:lineRule="auto"/>
              <w:jc w:val="center"/>
            </w:pPr>
            <w:r>
              <w:rPr>
                <w:rFonts w:ascii="Times New Roman" w:hAnsi="Times New Roman" w:eastAsia="SimSun"/>
                <w:b/>
                <w:i w:val="0"/>
                <w:color w:val="000000"/>
                <w:sz w:val="18"/>
              </w:rPr>
              <w:t>Adjusted p</w:t>
            </w:r>
          </w:p>
        </w:tc>
        <w:tc>
          <w:tcPr>
            <w:tcW w:type="dxa" w:w="2088"/>
            <w:vAlign w:val="center"/>
            <w:shd w:fill="E5ECF1"/>
          </w:tcPr>
          <w:p>
            <w:pPr>
              <w:keepNext/>
              <w:spacing w:after="0" w:before="0" w:line="245" w:lineRule="auto"/>
              <w:jc w:val="center"/>
            </w:pPr>
            <w:r>
              <w:rPr>
                <w:rFonts w:ascii="Times New Roman" w:hAnsi="Times New Roman" w:eastAsia="SimSun"/>
                <w:b/>
                <w:i w:val="0"/>
                <w:color w:val="000000"/>
                <w:sz w:val="18"/>
              </w:rPr>
              <w:t>Adjusted means</w:t>
              <w:br/>
              <w:t>level: steps</w:t>
            </w:r>
          </w:p>
        </w:tc>
        <w:tc>
          <w:tcPr>
            <w:tcW w:type="dxa" w:w="3312"/>
            <w:vAlign w:val="center"/>
            <w:shd w:fill="E5ECF1"/>
          </w:tcPr>
          <w:p>
            <w:pPr>
              <w:keepNext/>
              <w:spacing w:after="0" w:before="0" w:line="245" w:lineRule="auto"/>
              <w:jc w:val="center"/>
            </w:pPr>
            <w:r>
              <w:rPr>
                <w:rFonts w:ascii="Times New Roman" w:hAnsi="Times New Roman" w:eastAsia="SimSun"/>
                <w:b/>
                <w:i w:val="0"/>
                <w:color w:val="000000"/>
                <w:sz w:val="18"/>
              </w:rPr>
              <w:t>High-minus-low Δ</w:t>
              <w:br/>
              <w:t>95% CI</w:t>
            </w:r>
          </w:p>
        </w:tc>
        <w:tc>
          <w:tcPr>
            <w:tcW w:type="dxa" w:w="1224"/>
            <w:vAlign w:val="center"/>
            <w:shd w:fill="E5ECF1"/>
          </w:tcPr>
          <w:p>
            <w:pPr>
              <w:keepNext/>
              <w:spacing w:after="0" w:before="0" w:line="245" w:lineRule="auto"/>
              <w:jc w:val="center"/>
            </w:pPr>
            <w:r>
              <w:rPr>
                <w:rFonts w:ascii="Times New Roman" w:hAnsi="Times New Roman" w:eastAsia="SimSun"/>
                <w:b/>
                <w:i w:val="0"/>
                <w:color w:val="000000"/>
                <w:sz w:val="18"/>
              </w:rPr>
              <w:t>Pairwise</w:t>
              <w:br/>
              <w:t>adjusted p</w:t>
            </w:r>
          </w:p>
        </w:tc>
      </w:tr>
      <w:tr>
        <w:trPr>
          <w:cantSplit/>
        </w:trPr>
        <w:tc>
          <w:tcPr>
            <w:tcW w:type="dxa" w:w="720"/>
            <w:vAlign w:val="center"/>
          </w:tcPr>
          <w:p>
            <w:pPr>
              <w:spacing w:after="0" w:before="0" w:line="245" w:lineRule="auto"/>
              <w:jc w:val="left"/>
            </w:pPr>
            <w:r>
              <w:rPr>
                <w:rFonts w:ascii="Times New Roman" w:hAnsi="Times New Roman" w:eastAsia="SimSun"/>
                <w:b w:val="0"/>
                <w:i w:val="0"/>
                <w:color w:val="000000"/>
                <w:sz w:val="18"/>
              </w:rPr>
              <w:t>RT</w:t>
            </w:r>
          </w:p>
        </w:tc>
        <w:tc>
          <w:tcPr>
            <w:tcW w:type="dxa" w:w="1224"/>
            <w:vAlign w:val="center"/>
          </w:tcPr>
          <w:p>
            <w:pPr>
              <w:spacing w:after="0" w:before="0" w:line="245" w:lineRule="auto"/>
              <w:jc w:val="center"/>
            </w:pPr>
            <w:r>
              <w:rPr>
                <w:rFonts w:ascii="Times New Roman" w:hAnsi="Times New Roman" w:eastAsia="SimSun"/>
                <w:b w:val="0"/>
                <w:i w:val="0"/>
                <w:color w:val="000000"/>
                <w:sz w:val="18"/>
              </w:rPr>
              <w:t>111.198</w:t>
              <w:br/>
              <w:t>(2,46)</w:t>
            </w:r>
          </w:p>
        </w:tc>
        <w:tc>
          <w:tcPr>
            <w:tcW w:type="dxa" w:w="1152"/>
            <w:vAlign w:val="center"/>
          </w:tcPr>
          <w:p>
            <w:pPr>
              <w:spacing w:after="0" w:before="0" w:line="245" w:lineRule="auto"/>
              <w:jc w:val="center"/>
            </w:pPr>
            <w:r>
              <w:rPr>
                <w:rFonts w:ascii="Times New Roman" w:hAnsi="Times New Roman" w:eastAsia="SimSun"/>
                <w:b w:val="0"/>
                <w:i w:val="0"/>
                <w:color w:val="000000"/>
                <w:sz w:val="18"/>
              </w:rPr>
              <w:t>&lt;.001</w:t>
            </w:r>
          </w:p>
        </w:tc>
        <w:tc>
          <w:tcPr>
            <w:tcW w:type="dxa" w:w="2088"/>
            <w:vAlign w:val="center"/>
          </w:tcPr>
          <w:p>
            <w:pPr>
              <w:spacing w:after="0" w:before="0" w:line="245" w:lineRule="auto"/>
              <w:jc w:val="center"/>
            </w:pPr>
            <w:r>
              <w:rPr>
                <w:rFonts w:ascii="Times New Roman" w:hAnsi="Times New Roman" w:eastAsia="SimSun"/>
                <w:b w:val="0"/>
                <w:i w:val="0"/>
                <w:color w:val="000000"/>
                <w:sz w:val="18"/>
              </w:rPr>
              <w:t>2: 2.742</w:t>
              <w:br/>
              <w:t>4: 4.349</w:t>
              <w:br/>
              <w:t>7: 6.580</w:t>
            </w:r>
          </w:p>
        </w:tc>
        <w:tc>
          <w:tcPr>
            <w:tcW w:type="dxa" w:w="3312"/>
            <w:vAlign w:val="center"/>
          </w:tcPr>
          <w:p>
            <w:pPr>
              <w:spacing w:after="0" w:before="0" w:line="245" w:lineRule="auto"/>
              <w:jc w:val="center"/>
            </w:pPr>
            <w:r>
              <w:rPr>
                <w:rFonts w:ascii="Times New Roman" w:hAnsi="Times New Roman" w:eastAsia="SimSun"/>
                <w:b w:val="0"/>
                <w:i w:val="0"/>
                <w:color w:val="000000"/>
                <w:sz w:val="18"/>
              </w:rPr>
              <w:t>3.838</w:t>
              <w:br/>
              <w:t>[3.317, 4.358]</w:t>
            </w:r>
          </w:p>
        </w:tc>
        <w:tc>
          <w:tcPr>
            <w:tcW w:type="dxa" w:w="1224"/>
            <w:vAlign w:val="center"/>
          </w:tcPr>
          <w:p>
            <w:pPr>
              <w:spacing w:after="0" w:before="0" w:line="245" w:lineRule="auto"/>
              <w:jc w:val="center"/>
            </w:pPr>
            <w:r>
              <w:rPr>
                <w:rFonts w:ascii="Times New Roman" w:hAnsi="Times New Roman" w:eastAsia="SimSun"/>
                <w:b w:val="0"/>
                <w:i w:val="0"/>
                <w:color w:val="000000"/>
                <w:sz w:val="18"/>
              </w:rPr>
              <w:t>&lt;.001</w:t>
            </w:r>
          </w:p>
        </w:tc>
      </w:tr>
      <w:tr>
        <w:trPr>
          <w:cantSplit/>
        </w:trPr>
        <w:tc>
          <w:tcPr>
            <w:tcW w:type="dxa" w:w="720"/>
            <w:vAlign w:val="center"/>
          </w:tcPr>
          <w:p>
            <w:pPr>
              <w:spacing w:after="0" w:before="0" w:line="245" w:lineRule="auto"/>
              <w:jc w:val="left"/>
            </w:pPr>
            <w:r>
              <w:rPr>
                <w:rFonts w:ascii="Times New Roman" w:hAnsi="Times New Roman" w:eastAsia="SimSun"/>
                <w:b w:val="0"/>
                <w:i w:val="0"/>
                <w:color w:val="000000"/>
                <w:sz w:val="18"/>
              </w:rPr>
              <w:t>TC</w:t>
            </w:r>
          </w:p>
        </w:tc>
        <w:tc>
          <w:tcPr>
            <w:tcW w:type="dxa" w:w="1224"/>
            <w:vAlign w:val="center"/>
          </w:tcPr>
          <w:p>
            <w:pPr>
              <w:spacing w:after="0" w:before="0" w:line="245" w:lineRule="auto"/>
              <w:jc w:val="center"/>
            </w:pPr>
            <w:r>
              <w:rPr>
                <w:rFonts w:ascii="Times New Roman" w:hAnsi="Times New Roman" w:eastAsia="SimSun"/>
                <w:b w:val="0"/>
                <w:i w:val="0"/>
                <w:color w:val="000000"/>
                <w:sz w:val="18"/>
              </w:rPr>
              <w:t>18.050</w:t>
              <w:br/>
              <w:t>(1,46)</w:t>
            </w:r>
          </w:p>
        </w:tc>
        <w:tc>
          <w:tcPr>
            <w:tcW w:type="dxa" w:w="1152"/>
            <w:vAlign w:val="center"/>
          </w:tcPr>
          <w:p>
            <w:pPr>
              <w:spacing w:after="0" w:before="0" w:line="245" w:lineRule="auto"/>
              <w:jc w:val="center"/>
            </w:pPr>
            <w:r>
              <w:rPr>
                <w:rFonts w:ascii="Times New Roman" w:hAnsi="Times New Roman" w:eastAsia="SimSun"/>
                <w:b w:val="0"/>
                <w:i w:val="0"/>
                <w:color w:val="000000"/>
                <w:sz w:val="18"/>
              </w:rPr>
              <w:t>&lt;.001</w:t>
            </w:r>
          </w:p>
        </w:tc>
        <w:tc>
          <w:tcPr>
            <w:tcW w:type="dxa" w:w="2088"/>
            <w:vAlign w:val="center"/>
          </w:tcPr>
          <w:p>
            <w:pPr>
              <w:spacing w:after="0" w:before="0" w:line="245" w:lineRule="auto"/>
              <w:jc w:val="center"/>
            </w:pPr>
            <w:r>
              <w:rPr>
                <w:rFonts w:ascii="Times New Roman" w:hAnsi="Times New Roman" w:eastAsia="SimSun"/>
                <w:b w:val="0"/>
                <w:i w:val="0"/>
                <w:color w:val="000000"/>
                <w:sz w:val="18"/>
              </w:rPr>
              <w:t>0.2: 4.960</w:t>
              <w:br/>
              <w:t>0.8: 4.154</w:t>
            </w:r>
          </w:p>
        </w:tc>
        <w:tc>
          <w:tcPr>
            <w:tcW w:type="dxa" w:w="3312"/>
            <w:vAlign w:val="center"/>
          </w:tcPr>
          <w:p>
            <w:pPr>
              <w:spacing w:after="0" w:before="0" w:line="245" w:lineRule="auto"/>
              <w:jc w:val="center"/>
            </w:pPr>
            <w:r>
              <w:rPr>
                <w:rFonts w:ascii="Times New Roman" w:hAnsi="Times New Roman" w:eastAsia="SimSun"/>
                <w:b w:val="0"/>
                <w:i w:val="0"/>
                <w:color w:val="000000"/>
                <w:sz w:val="18"/>
              </w:rPr>
              <w:t>-0.806</w:t>
              <w:br/>
              <w:t>[-1.187, -0.424]</w:t>
            </w:r>
          </w:p>
        </w:tc>
        <w:tc>
          <w:tcPr>
            <w:tcW w:type="dxa" w:w="1224"/>
            <w:vAlign w:val="center"/>
          </w:tcPr>
          <w:p>
            <w:pPr>
              <w:spacing w:after="0" w:before="0" w:line="245" w:lineRule="auto"/>
              <w:jc w:val="center"/>
            </w:pPr>
            <w:r>
              <w:rPr>
                <w:rFonts w:ascii="Times New Roman" w:hAnsi="Times New Roman" w:eastAsia="SimSun"/>
                <w:b w:val="0"/>
                <w:i w:val="0"/>
                <w:color w:val="000000"/>
                <w:sz w:val="18"/>
              </w:rPr>
              <w:t>0.002</w:t>
            </w:r>
          </w:p>
        </w:tc>
      </w:tr>
      <w:tr>
        <w:trPr>
          <w:cantSplit/>
        </w:trPr>
        <w:tc>
          <w:tcPr>
            <w:tcW w:type="dxa" w:w="720"/>
            <w:vAlign w:val="center"/>
          </w:tcPr>
          <w:p>
            <w:pPr>
              <w:spacing w:after="0" w:before="0" w:line="245" w:lineRule="auto"/>
              <w:jc w:val="left"/>
            </w:pPr>
            <w:r>
              <w:rPr>
                <w:rFonts w:ascii="Times New Roman" w:hAnsi="Times New Roman" w:eastAsia="SimSun"/>
                <w:b w:val="0"/>
                <w:i w:val="0"/>
                <w:color w:val="000000"/>
                <w:sz w:val="18"/>
              </w:rPr>
              <w:t>GC</w:t>
            </w:r>
          </w:p>
        </w:tc>
        <w:tc>
          <w:tcPr>
            <w:tcW w:type="dxa" w:w="1224"/>
            <w:vAlign w:val="center"/>
          </w:tcPr>
          <w:p>
            <w:pPr>
              <w:spacing w:after="0" w:before="0" w:line="245" w:lineRule="auto"/>
              <w:jc w:val="center"/>
            </w:pPr>
            <w:r>
              <w:rPr>
                <w:rFonts w:ascii="Times New Roman" w:hAnsi="Times New Roman" w:eastAsia="SimSun"/>
                <w:b w:val="0"/>
                <w:i w:val="0"/>
                <w:color w:val="000000"/>
                <w:sz w:val="18"/>
              </w:rPr>
              <w:t>16.170</w:t>
              <w:br/>
              <w:t>(2,46)</w:t>
            </w:r>
          </w:p>
        </w:tc>
        <w:tc>
          <w:tcPr>
            <w:tcW w:type="dxa" w:w="1152"/>
            <w:vAlign w:val="center"/>
          </w:tcPr>
          <w:p>
            <w:pPr>
              <w:spacing w:after="0" w:before="0" w:line="245" w:lineRule="auto"/>
              <w:jc w:val="center"/>
            </w:pPr>
            <w:r>
              <w:rPr>
                <w:rFonts w:ascii="Times New Roman" w:hAnsi="Times New Roman" w:eastAsia="SimSun"/>
                <w:b w:val="0"/>
                <w:i w:val="0"/>
                <w:color w:val="000000"/>
                <w:sz w:val="18"/>
              </w:rPr>
              <w:t>&lt;.001</w:t>
            </w:r>
          </w:p>
        </w:tc>
        <w:tc>
          <w:tcPr>
            <w:tcW w:type="dxa" w:w="2088"/>
            <w:vAlign w:val="center"/>
          </w:tcPr>
          <w:p>
            <w:pPr>
              <w:spacing w:after="0" w:before="0" w:line="245" w:lineRule="auto"/>
              <w:jc w:val="center"/>
            </w:pPr>
            <w:r>
              <w:rPr>
                <w:rFonts w:ascii="Times New Roman" w:hAnsi="Times New Roman" w:eastAsia="SimSun"/>
                <w:b w:val="0"/>
                <w:i w:val="0"/>
                <w:color w:val="000000"/>
                <w:sz w:val="18"/>
              </w:rPr>
              <w:t>0.25: 5.329</w:t>
              <w:br/>
              <w:t>0.5: 4.360</w:t>
              <w:br/>
              <w:t>0.75: 3.981</w:t>
            </w:r>
          </w:p>
        </w:tc>
        <w:tc>
          <w:tcPr>
            <w:tcW w:type="dxa" w:w="3312"/>
            <w:vAlign w:val="center"/>
          </w:tcPr>
          <w:p>
            <w:pPr>
              <w:spacing w:after="0" w:before="0" w:line="245" w:lineRule="auto"/>
              <w:jc w:val="center"/>
            </w:pPr>
            <w:r>
              <w:rPr>
                <w:rFonts w:ascii="Times New Roman" w:hAnsi="Times New Roman" w:eastAsia="SimSun"/>
                <w:b w:val="0"/>
                <w:i w:val="0"/>
                <w:color w:val="000000"/>
                <w:sz w:val="18"/>
              </w:rPr>
              <w:t>-1.348</w:t>
              <w:br/>
              <w:t>[-1.831, -0.865]</w:t>
            </w:r>
          </w:p>
        </w:tc>
        <w:tc>
          <w:tcPr>
            <w:tcW w:type="dxa" w:w="1224"/>
            <w:vAlign w:val="center"/>
          </w:tcPr>
          <w:p>
            <w:pPr>
              <w:spacing w:after="0" w:before="0" w:line="245" w:lineRule="auto"/>
              <w:jc w:val="center"/>
            </w:pPr>
            <w:r>
              <w:rPr>
                <w:rFonts w:ascii="Times New Roman" w:hAnsi="Times New Roman" w:eastAsia="SimSun"/>
                <w:b w:val="0"/>
                <w:i w:val="0"/>
                <w:color w:val="000000"/>
                <w:sz w:val="18"/>
              </w:rPr>
              <w:t>&lt;.001</w:t>
            </w:r>
          </w:p>
        </w:tc>
      </w:tr>
      <w:tr>
        <w:trPr>
          <w:cantSplit/>
        </w:trPr>
        <w:tc>
          <w:tcPr>
            <w:tcW w:type="dxa" w:w="720"/>
            <w:vAlign w:val="center"/>
          </w:tcPr>
          <w:p>
            <w:pPr>
              <w:spacing w:after="0" w:before="0" w:line="245" w:lineRule="auto"/>
              <w:jc w:val="left"/>
            </w:pPr>
            <w:r>
              <w:rPr>
                <w:rFonts w:ascii="Times New Roman" w:hAnsi="Times New Roman" w:eastAsia="SimSun"/>
                <w:b w:val="0"/>
                <w:i w:val="0"/>
                <w:color w:val="000000"/>
                <w:sz w:val="18"/>
              </w:rPr>
              <w:t>DGC</w:t>
            </w:r>
          </w:p>
        </w:tc>
        <w:tc>
          <w:tcPr>
            <w:tcW w:type="dxa" w:w="1224"/>
            <w:vAlign w:val="center"/>
          </w:tcPr>
          <w:p>
            <w:pPr>
              <w:spacing w:after="0" w:before="0" w:line="245" w:lineRule="auto"/>
              <w:jc w:val="center"/>
            </w:pPr>
            <w:r>
              <w:rPr>
                <w:rFonts w:ascii="Times New Roman" w:hAnsi="Times New Roman" w:eastAsia="SimSun"/>
                <w:b w:val="0"/>
                <w:i w:val="0"/>
                <w:color w:val="000000"/>
                <w:sz w:val="18"/>
              </w:rPr>
              <w:t>2.086</w:t>
              <w:br/>
              <w:t>(2,46)</w:t>
            </w:r>
          </w:p>
        </w:tc>
        <w:tc>
          <w:tcPr>
            <w:tcW w:type="dxa" w:w="1152"/>
            <w:vAlign w:val="center"/>
          </w:tcPr>
          <w:p>
            <w:pPr>
              <w:spacing w:after="0" w:before="0" w:line="245" w:lineRule="auto"/>
              <w:jc w:val="center"/>
            </w:pPr>
            <w:r>
              <w:rPr>
                <w:rFonts w:ascii="Times New Roman" w:hAnsi="Times New Roman" w:eastAsia="SimSun"/>
                <w:b w:val="0"/>
                <w:i w:val="0"/>
                <w:color w:val="000000"/>
                <w:sz w:val="18"/>
              </w:rPr>
              <w:t>0.272</w:t>
            </w:r>
          </w:p>
        </w:tc>
        <w:tc>
          <w:tcPr>
            <w:tcW w:type="dxa" w:w="2088"/>
            <w:vAlign w:val="center"/>
          </w:tcPr>
          <w:p>
            <w:pPr>
              <w:spacing w:after="0" w:before="0" w:line="245" w:lineRule="auto"/>
              <w:jc w:val="center"/>
            </w:pPr>
            <w:r>
              <w:rPr>
                <w:rFonts w:ascii="Times New Roman" w:hAnsi="Times New Roman" w:eastAsia="SimSun"/>
                <w:b w:val="0"/>
                <w:i w:val="0"/>
                <w:color w:val="000000"/>
                <w:sz w:val="18"/>
              </w:rPr>
              <w:t>0: 4.412</w:t>
              <w:br/>
              <w:t>0.2: 4.444</w:t>
              <w:br/>
              <w:t>0.4: 4.815</w:t>
            </w:r>
          </w:p>
        </w:tc>
        <w:tc>
          <w:tcPr>
            <w:tcW w:type="dxa" w:w="3312"/>
            <w:vAlign w:val="center"/>
          </w:tcPr>
          <w:p>
            <w:pPr>
              <w:spacing w:after="0" w:before="0" w:line="245" w:lineRule="auto"/>
              <w:jc w:val="center"/>
            </w:pPr>
            <w:r>
              <w:rPr>
                <w:rFonts w:ascii="Times New Roman" w:hAnsi="Times New Roman" w:eastAsia="SimSun"/>
                <w:b w:val="0"/>
                <w:i w:val="0"/>
                <w:color w:val="000000"/>
                <w:sz w:val="18"/>
              </w:rPr>
              <w:t>0.403</w:t>
              <w:br/>
              <w:t>[-0.023, 0.829]</w:t>
            </w:r>
          </w:p>
        </w:tc>
        <w:tc>
          <w:tcPr>
            <w:tcW w:type="dxa" w:w="1224"/>
            <w:vAlign w:val="center"/>
          </w:tcPr>
          <w:p>
            <w:pPr>
              <w:spacing w:after="0" w:before="0" w:line="245" w:lineRule="auto"/>
              <w:jc w:val="center"/>
            </w:pPr>
            <w:r>
              <w:rPr>
                <w:rFonts w:ascii="Times New Roman" w:hAnsi="Times New Roman" w:eastAsia="SimSun"/>
                <w:b w:val="0"/>
                <w:i w:val="0"/>
                <w:color w:val="000000"/>
                <w:sz w:val="18"/>
              </w:rPr>
              <w:t>0.505</w:t>
            </w:r>
          </w:p>
        </w:tc>
      </w:tr>
    </w:tbl>
    <w:p>
      <w:pPr>
        <w:pStyle w:val="15"/>
        <w:spacing w:before="0" w:after="100" w:line="240" w:lineRule="auto"/>
      </w:pPr>
      <w:r>
        <w:rPr>
          <w:rFonts w:ascii="Times New Roman" w:hAnsi="Times New Roman" w:eastAsia="SimSun"/>
          <w:b w:val="0"/>
          <w:i w:val="0"/>
          <w:color w:val="000000"/>
          <w:sz w:val="18"/>
        </w:rPr>
        <w:t>Eight-parameter categorical model; residual df=46. Contrasts: RT 7−2, TC .8−.2, GC .75−.25, DGC .4−0. Pairwise p values retain the 20-comparison Holm family; intervals are pointwise.</w:t>
      </w:r>
    </w:p>
    <w:p>
      <w:pPr>
        <w:spacing w:before="0" w:after="100" w:line="254" w:lineRule="auto"/>
      </w:pPr>
      <w:r>
        <w:rPr>
          <w:rFonts w:ascii="Times New Roman" w:hAnsi="Times New Roman" w:eastAsia="SimSun"/>
          <w:b w:val="0"/>
          <w:i w:val="0"/>
          <w:color w:val="000000"/>
          <w:sz w:val="22"/>
        </w:rPr>
        <w:t>RT=7 rather than 2 corresponds to 3.838 additional steps (95% CI 3.317–4.358). Increasing GC from .25 to .75 corresponds to 1.348 fewer steps, and increasing TC from .20 to .80 to .806 fewer steps. These differences describe observed updates within the simulation. The RT contrast includes the period spent awaiting official publication.</w:t>
      </w:r>
    </w:p>
    <w:p>
      <w:r>
        <w:br w:type="page"/>
      </w:r>
    </w:p>
    <w:p>
      <w:pPr>
        <w:pStyle w:val="3"/>
        <w:spacing w:before="160" w:after="100"/>
      </w:pPr>
      <w:r>
        <w:rPr>
          <w:rFonts w:ascii="Times New Roman" w:hAnsi="Times New Roman" w:eastAsia="SimSun"/>
          <w:b/>
          <w:i w:val="0"/>
          <w:color w:val="000000"/>
          <w:sz w:val="26"/>
        </w:rPr>
        <w:t>6 Cocooning moderation and effect magnitudes</w:t>
      </w:r>
    </w:p>
    <w:p>
      <w:pPr>
        <w:spacing w:before="0" w:after="100" w:line="254" w:lineRule="auto"/>
      </w:pPr>
      <w:r>
        <w:rPr>
          <w:rFonts w:ascii="Times New Roman" w:hAnsi="Times New Roman" w:eastAsia="SimSun"/>
          <w:b w:val="0"/>
          <w:i w:val="0"/>
          <w:color w:val="000000"/>
          <w:sz w:val="22"/>
        </w:rPr>
        <w:t>Numeric M1, M2 and M3 explain 87.9%, 88.7% and 89.4% of scenario TBU variation. Adding three DGC interactions increases R² by 0.007, but the joint HC3 test is not significant: F(3,46)=1.100, p=0.359. None of the three interaction terms is significant after the retained correction.</w:t>
      </w:r>
    </w:p>
    <w:p>
      <w:pPr>
        <w:keepNext/>
        <w:spacing w:after="0"/>
        <w:jc w:val="center"/>
      </w:pPr>
      <w:r>
        <w:drawing>
          <wp:inline xmlns:a="http://schemas.openxmlformats.org/drawingml/2006/main" xmlns:pic="http://schemas.openxmlformats.org/drawingml/2006/picture">
            <wp:extent cx="6172200" cy="3358403"/>
            <wp:docPr id="4" name="Picture 4"/>
            <wp:cNvGraphicFramePr>
              <a:graphicFrameLocks noChangeAspect="1"/>
            </wp:cNvGraphicFramePr>
            <a:graphic>
              <a:graphicData uri="http://schemas.openxmlformats.org/drawingml/2006/picture">
                <pic:pic>
                  <pic:nvPicPr>
                    <pic:cNvPr id="0" name="Figure4_FB_moderation.png"/>
                    <pic:cNvPicPr/>
                  </pic:nvPicPr>
                  <pic:blipFill>
                    <a:blip r:embed="rId15"/>
                    <a:stretch>
                      <a:fillRect/>
                    </a:stretch>
                  </pic:blipFill>
                  <pic:spPr>
                    <a:xfrm>
                      <a:off x="0" y="0"/>
                      <a:ext cx="6172200" cy="3358403"/>
                    </a:xfrm>
                    <a:prstGeom prst="rect"/>
                  </pic:spPr>
                </pic:pic>
              </a:graphicData>
            </a:graphic>
          </wp:inline>
        </w:drawing>
      </w:r>
    </w:p>
    <w:p>
      <w:pPr>
        <w:pStyle w:val="15"/>
        <w:spacing w:before="0" w:after="100" w:line="240" w:lineRule="auto"/>
      </w:pPr>
      <w:r>
        <w:rPr>
          <w:rFonts w:ascii="Times New Roman" w:hAnsi="Times New Roman" w:eastAsia="SimSun"/>
          <w:b w:val="0"/>
          <w:i w:val="0"/>
          <w:color w:val="000000"/>
          <w:sz w:val="18"/>
        </w:rPr>
        <w:t>Figure 4  FB conditional effects and moderation uncertainty. First three panels show RT+1 step, TC .80−.20 and GC+.25 at each DGC level. The forest compares high-minus-low effects between DGC=.4 and 0. All intervals are pointwise HC3 95%; interaction p values retain the six-test Holm family.</w:t>
      </w:r>
    </w:p>
    <w:p>
      <w:pPr>
        <w:pStyle w:val="15"/>
        <w:keepNext/>
        <w:spacing w:before="0" w:after="100" w:line="240" w:lineRule="auto"/>
      </w:pPr>
      <w:r>
        <w:rPr>
          <w:rFonts w:ascii="Times New Roman" w:hAnsi="Times New Roman" w:eastAsia="SimSun"/>
          <w:b w:val="0"/>
          <w:i w:val="0"/>
          <w:color w:val="000000"/>
          <w:sz w:val="18"/>
        </w:rPr>
        <w:t>Table 4  Centered numeric M3 estimates for FB TBU</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75" w:type="dxa"/>
          <w:right w:w="75" w:type="dxa"/>
        </w:tblCellMar>
      </w:tblPr>
      <w:tblGrid>
        <w:gridCol w:w="1800"/>
        <w:gridCol w:w="1008"/>
        <w:gridCol w:w="3168"/>
        <w:gridCol w:w="1296"/>
        <w:gridCol w:w="1152"/>
        <w:gridCol w:w="1296"/>
      </w:tblGrid>
      <w:tr>
        <w:trPr>
          <w:tblHeader/>
          <w:cantSplit/>
        </w:trPr>
        <w:tc>
          <w:tcPr>
            <w:tcW w:type="dxa" w:w="1800"/>
            <w:vAlign w:val="center"/>
            <w:shd w:fill="E5ECF1"/>
          </w:tcPr>
          <w:p>
            <w:pPr>
              <w:keepNext/>
              <w:spacing w:after="0" w:before="0" w:line="245" w:lineRule="auto"/>
              <w:jc w:val="left"/>
            </w:pPr>
            <w:r>
              <w:rPr>
                <w:rFonts w:ascii="Times New Roman" w:hAnsi="Times New Roman" w:eastAsia="SimSun"/>
                <w:b/>
                <w:i w:val="0"/>
                <w:color w:val="000000"/>
                <w:sz w:val="18"/>
              </w:rPr>
              <w:t>Term</w:t>
            </w:r>
          </w:p>
        </w:tc>
        <w:tc>
          <w:tcPr>
            <w:tcW w:type="dxa" w:w="1008"/>
            <w:vAlign w:val="center"/>
            <w:shd w:fill="E5ECF1"/>
          </w:tcPr>
          <w:p>
            <w:pPr>
              <w:keepNext/>
              <w:spacing w:after="0" w:before="0" w:line="245" w:lineRule="auto"/>
              <w:jc w:val="center"/>
            </w:pPr>
            <w:r>
              <w:rPr>
                <w:rFonts w:ascii="Times New Roman" w:hAnsi="Times New Roman" w:eastAsia="SimSun"/>
                <w:b/>
                <w:i w:val="0"/>
                <w:color w:val="000000"/>
                <w:sz w:val="18"/>
              </w:rPr>
              <w:t>b</w:t>
            </w:r>
          </w:p>
        </w:tc>
        <w:tc>
          <w:tcPr>
            <w:tcW w:type="dxa" w:w="3168"/>
            <w:vAlign w:val="center"/>
            <w:shd w:fill="E5ECF1"/>
          </w:tcPr>
          <w:p>
            <w:pPr>
              <w:keepNext/>
              <w:spacing w:after="0" w:before="0" w:line="245" w:lineRule="auto"/>
              <w:jc w:val="center"/>
            </w:pPr>
            <w:r>
              <w:rPr>
                <w:rFonts w:ascii="Times New Roman" w:hAnsi="Times New Roman" w:eastAsia="SimSun"/>
                <w:b/>
                <w:i w:val="0"/>
                <w:color w:val="000000"/>
                <w:sz w:val="18"/>
              </w:rPr>
              <w:t>95% CI</w:t>
            </w:r>
          </w:p>
        </w:tc>
        <w:tc>
          <w:tcPr>
            <w:tcW w:type="dxa" w:w="1296"/>
            <w:vAlign w:val="center"/>
            <w:shd w:fill="E5ECF1"/>
          </w:tcPr>
          <w:p>
            <w:pPr>
              <w:keepNext/>
              <w:spacing w:after="0" w:before="0" w:line="245" w:lineRule="auto"/>
              <w:jc w:val="center"/>
            </w:pPr>
            <w:r>
              <w:rPr>
                <w:rFonts w:ascii="Times New Roman" w:hAnsi="Times New Roman" w:eastAsia="SimSun"/>
                <w:b/>
                <w:i w:val="0"/>
                <w:color w:val="000000"/>
                <w:sz w:val="18"/>
              </w:rPr>
              <w:t>t(46 df)</w:t>
            </w:r>
          </w:p>
        </w:tc>
        <w:tc>
          <w:tcPr>
            <w:tcW w:type="dxa" w:w="1152"/>
            <w:vAlign w:val="center"/>
            <w:shd w:fill="E5ECF1"/>
          </w:tcPr>
          <w:p>
            <w:pPr>
              <w:keepNext/>
              <w:spacing w:after="0" w:before="0" w:line="245" w:lineRule="auto"/>
              <w:jc w:val="center"/>
            </w:pPr>
            <w:r>
              <w:rPr>
                <w:rFonts w:ascii="Times New Roman" w:hAnsi="Times New Roman" w:eastAsia="SimSun"/>
                <w:b/>
                <w:i w:val="0"/>
                <w:color w:val="000000"/>
                <w:sz w:val="18"/>
              </w:rPr>
              <w:t>Raw p</w:t>
            </w:r>
          </w:p>
        </w:tc>
        <w:tc>
          <w:tcPr>
            <w:tcW w:type="dxa" w:w="1296"/>
            <w:vAlign w:val="center"/>
            <w:shd w:fill="E5ECF1"/>
          </w:tcPr>
          <w:p>
            <w:pPr>
              <w:keepNext/>
              <w:spacing w:after="0" w:before="0" w:line="245" w:lineRule="auto"/>
              <w:jc w:val="center"/>
            </w:pPr>
            <w:r>
              <w:rPr>
                <w:rFonts w:ascii="Times New Roman" w:hAnsi="Times New Roman" w:eastAsia="SimSun"/>
                <w:b/>
                <w:i w:val="0"/>
                <w:color w:val="000000"/>
                <w:sz w:val="18"/>
              </w:rPr>
              <w:t>Adjusted p</w:t>
            </w:r>
          </w:p>
        </w:tc>
      </w:tr>
      <w:tr>
        <w:trPr>
          <w:cantSplit/>
        </w:trPr>
        <w:tc>
          <w:tcPr>
            <w:tcW w:type="dxa" w:w="1800"/>
            <w:vAlign w:val="center"/>
          </w:tcPr>
          <w:p>
            <w:pPr>
              <w:spacing w:after="0" w:before="0" w:line="245" w:lineRule="auto"/>
              <w:jc w:val="left"/>
            </w:pPr>
            <w:r>
              <w:rPr>
                <w:rFonts w:ascii="Times New Roman" w:hAnsi="Times New Roman" w:eastAsia="SimSun"/>
                <w:b w:val="0"/>
                <w:i w:val="0"/>
                <w:color w:val="000000"/>
                <w:sz w:val="18"/>
              </w:rPr>
              <w:t>RT</w:t>
            </w:r>
          </w:p>
        </w:tc>
        <w:tc>
          <w:tcPr>
            <w:tcW w:type="dxa" w:w="1008"/>
            <w:vAlign w:val="center"/>
          </w:tcPr>
          <w:p>
            <w:pPr>
              <w:spacing w:after="0" w:before="0" w:line="245" w:lineRule="auto"/>
              <w:jc w:val="center"/>
            </w:pPr>
            <w:r>
              <w:rPr>
                <w:rFonts w:ascii="Times New Roman" w:hAnsi="Times New Roman" w:eastAsia="SimSun"/>
                <w:b w:val="0"/>
                <w:i w:val="0"/>
                <w:color w:val="000000"/>
                <w:sz w:val="18"/>
              </w:rPr>
              <w:t>0.766</w:t>
            </w:r>
          </w:p>
        </w:tc>
        <w:tc>
          <w:tcPr>
            <w:tcW w:type="dxa" w:w="3168"/>
            <w:vAlign w:val="center"/>
          </w:tcPr>
          <w:p>
            <w:pPr>
              <w:spacing w:after="0" w:before="0" w:line="245" w:lineRule="auto"/>
              <w:jc w:val="center"/>
            </w:pPr>
            <w:r>
              <w:rPr>
                <w:rFonts w:ascii="Times New Roman" w:hAnsi="Times New Roman" w:eastAsia="SimSun"/>
                <w:b w:val="0"/>
                <w:i w:val="0"/>
                <w:color w:val="000000"/>
                <w:sz w:val="18"/>
              </w:rPr>
              <w:t>[0.664, 0.867]</w:t>
            </w:r>
          </w:p>
        </w:tc>
        <w:tc>
          <w:tcPr>
            <w:tcW w:type="dxa" w:w="1296"/>
            <w:vAlign w:val="center"/>
          </w:tcPr>
          <w:p>
            <w:pPr>
              <w:spacing w:after="0" w:before="0" w:line="245" w:lineRule="auto"/>
              <w:jc w:val="center"/>
            </w:pPr>
            <w:r>
              <w:rPr>
                <w:rFonts w:ascii="Times New Roman" w:hAnsi="Times New Roman" w:eastAsia="SimSun"/>
                <w:b w:val="0"/>
                <w:i w:val="0"/>
                <w:color w:val="000000"/>
                <w:sz w:val="18"/>
              </w:rPr>
              <w:t>15.222</w:t>
            </w:r>
          </w:p>
        </w:tc>
        <w:tc>
          <w:tcPr>
            <w:tcW w:type="dxa" w:w="1152"/>
            <w:vAlign w:val="center"/>
          </w:tcPr>
          <w:p>
            <w:pPr>
              <w:spacing w:after="0" w:before="0" w:line="245" w:lineRule="auto"/>
              <w:jc w:val="center"/>
            </w:pPr>
            <w:r>
              <w:rPr>
                <w:rFonts w:ascii="Times New Roman" w:hAnsi="Times New Roman" w:eastAsia="SimSun"/>
                <w:b w:val="0"/>
                <w:i w:val="0"/>
                <w:color w:val="000000"/>
                <w:sz w:val="18"/>
              </w:rPr>
              <w:t>&lt;.001</w:t>
            </w:r>
          </w:p>
        </w:tc>
        <w:tc>
          <w:tcPr>
            <w:tcW w:type="dxa" w:w="1296"/>
            <w:vAlign w:val="center"/>
          </w:tcPr>
          <w:p>
            <w:pPr>
              <w:spacing w:after="0" w:before="0" w:line="245" w:lineRule="auto"/>
              <w:jc w:val="center"/>
            </w:pPr>
            <w:r>
              <w:rPr>
                <w:rFonts w:ascii="Times New Roman" w:hAnsi="Times New Roman" w:eastAsia="SimSun"/>
                <w:b w:val="0"/>
                <w:i w:val="0"/>
                <w:color w:val="000000"/>
                <w:sz w:val="18"/>
              </w:rPr>
              <w:t>&lt;.001</w:t>
            </w:r>
          </w:p>
        </w:tc>
      </w:tr>
      <w:tr>
        <w:trPr>
          <w:cantSplit/>
        </w:trPr>
        <w:tc>
          <w:tcPr>
            <w:tcW w:type="dxa" w:w="1800"/>
            <w:vAlign w:val="center"/>
          </w:tcPr>
          <w:p>
            <w:pPr>
              <w:spacing w:after="0" w:before="0" w:line="245" w:lineRule="auto"/>
              <w:jc w:val="left"/>
            </w:pPr>
            <w:r>
              <w:rPr>
                <w:rFonts w:ascii="Times New Roman" w:hAnsi="Times New Roman" w:eastAsia="SimSun"/>
                <w:b w:val="0"/>
                <w:i w:val="0"/>
                <w:color w:val="000000"/>
                <w:sz w:val="18"/>
              </w:rPr>
              <w:t>TC</w:t>
            </w:r>
          </w:p>
        </w:tc>
        <w:tc>
          <w:tcPr>
            <w:tcW w:type="dxa" w:w="1008"/>
            <w:vAlign w:val="center"/>
          </w:tcPr>
          <w:p>
            <w:pPr>
              <w:spacing w:after="0" w:before="0" w:line="245" w:lineRule="auto"/>
              <w:jc w:val="center"/>
            </w:pPr>
            <w:r>
              <w:rPr>
                <w:rFonts w:ascii="Times New Roman" w:hAnsi="Times New Roman" w:eastAsia="SimSun"/>
                <w:b w:val="0"/>
                <w:i w:val="0"/>
                <w:color w:val="000000"/>
                <w:sz w:val="18"/>
              </w:rPr>
              <w:t>-1.343</w:t>
            </w:r>
          </w:p>
        </w:tc>
        <w:tc>
          <w:tcPr>
            <w:tcW w:type="dxa" w:w="3168"/>
            <w:vAlign w:val="center"/>
          </w:tcPr>
          <w:p>
            <w:pPr>
              <w:spacing w:after="0" w:before="0" w:line="245" w:lineRule="auto"/>
              <w:jc w:val="center"/>
            </w:pPr>
            <w:r>
              <w:rPr>
                <w:rFonts w:ascii="Times New Roman" w:hAnsi="Times New Roman" w:eastAsia="SimSun"/>
                <w:b w:val="0"/>
                <w:i w:val="0"/>
                <w:color w:val="000000"/>
                <w:sz w:val="18"/>
              </w:rPr>
              <w:t>[-1.979, -0.707]</w:t>
            </w:r>
          </w:p>
        </w:tc>
        <w:tc>
          <w:tcPr>
            <w:tcW w:type="dxa" w:w="1296"/>
            <w:vAlign w:val="center"/>
          </w:tcPr>
          <w:p>
            <w:pPr>
              <w:spacing w:after="0" w:before="0" w:line="245" w:lineRule="auto"/>
              <w:jc w:val="center"/>
            </w:pPr>
            <w:r>
              <w:rPr>
                <w:rFonts w:ascii="Times New Roman" w:hAnsi="Times New Roman" w:eastAsia="SimSun"/>
                <w:b w:val="0"/>
                <w:i w:val="0"/>
                <w:color w:val="000000"/>
                <w:sz w:val="18"/>
              </w:rPr>
              <w:t>-4.249</w:t>
            </w:r>
          </w:p>
        </w:tc>
        <w:tc>
          <w:tcPr>
            <w:tcW w:type="dxa" w:w="1152"/>
            <w:vAlign w:val="center"/>
          </w:tcPr>
          <w:p>
            <w:pPr>
              <w:spacing w:after="0" w:before="0" w:line="245" w:lineRule="auto"/>
              <w:jc w:val="center"/>
            </w:pPr>
            <w:r>
              <w:rPr>
                <w:rFonts w:ascii="Times New Roman" w:hAnsi="Times New Roman" w:eastAsia="SimSun"/>
                <w:b w:val="0"/>
                <w:i w:val="0"/>
                <w:color w:val="000000"/>
                <w:sz w:val="18"/>
              </w:rPr>
              <w:t>&lt;.001</w:t>
            </w:r>
          </w:p>
        </w:tc>
        <w:tc>
          <w:tcPr>
            <w:tcW w:type="dxa" w:w="1296"/>
            <w:vAlign w:val="center"/>
          </w:tcPr>
          <w:p>
            <w:pPr>
              <w:spacing w:after="0" w:before="0" w:line="245" w:lineRule="auto"/>
              <w:jc w:val="center"/>
            </w:pPr>
            <w:r>
              <w:rPr>
                <w:rFonts w:ascii="Times New Roman" w:hAnsi="Times New Roman" w:eastAsia="SimSun"/>
                <w:b w:val="0"/>
                <w:i w:val="0"/>
                <w:color w:val="000000"/>
                <w:sz w:val="18"/>
              </w:rPr>
              <w:t>&lt;.001</w:t>
            </w:r>
          </w:p>
        </w:tc>
      </w:tr>
      <w:tr>
        <w:trPr>
          <w:cantSplit/>
        </w:trPr>
        <w:tc>
          <w:tcPr>
            <w:tcW w:type="dxa" w:w="1800"/>
            <w:vAlign w:val="center"/>
          </w:tcPr>
          <w:p>
            <w:pPr>
              <w:spacing w:after="0" w:before="0" w:line="245" w:lineRule="auto"/>
              <w:jc w:val="left"/>
            </w:pPr>
            <w:r>
              <w:rPr>
                <w:rFonts w:ascii="Times New Roman" w:hAnsi="Times New Roman" w:eastAsia="SimSun"/>
                <w:b w:val="0"/>
                <w:i w:val="0"/>
                <w:color w:val="000000"/>
                <w:sz w:val="18"/>
              </w:rPr>
              <w:t>GC</w:t>
            </w:r>
          </w:p>
        </w:tc>
        <w:tc>
          <w:tcPr>
            <w:tcW w:type="dxa" w:w="1008"/>
            <w:vAlign w:val="center"/>
          </w:tcPr>
          <w:p>
            <w:pPr>
              <w:spacing w:after="0" w:before="0" w:line="245" w:lineRule="auto"/>
              <w:jc w:val="center"/>
            </w:pPr>
            <w:r>
              <w:rPr>
                <w:rFonts w:ascii="Times New Roman" w:hAnsi="Times New Roman" w:eastAsia="SimSun"/>
                <w:b w:val="0"/>
                <w:i w:val="0"/>
                <w:color w:val="000000"/>
                <w:sz w:val="18"/>
              </w:rPr>
              <w:t>-2.695</w:t>
            </w:r>
          </w:p>
        </w:tc>
        <w:tc>
          <w:tcPr>
            <w:tcW w:type="dxa" w:w="3168"/>
            <w:vAlign w:val="center"/>
          </w:tcPr>
          <w:p>
            <w:pPr>
              <w:spacing w:after="0" w:before="0" w:line="245" w:lineRule="auto"/>
              <w:jc w:val="center"/>
            </w:pPr>
            <w:r>
              <w:rPr>
                <w:rFonts w:ascii="Times New Roman" w:hAnsi="Times New Roman" w:eastAsia="SimSun"/>
                <w:b w:val="0"/>
                <w:i w:val="0"/>
                <w:color w:val="000000"/>
                <w:sz w:val="18"/>
              </w:rPr>
              <w:t>[-3.678, -1.713]</w:t>
            </w:r>
          </w:p>
        </w:tc>
        <w:tc>
          <w:tcPr>
            <w:tcW w:type="dxa" w:w="1296"/>
            <w:vAlign w:val="center"/>
          </w:tcPr>
          <w:p>
            <w:pPr>
              <w:spacing w:after="0" w:before="0" w:line="245" w:lineRule="auto"/>
              <w:jc w:val="center"/>
            </w:pPr>
            <w:r>
              <w:rPr>
                <w:rFonts w:ascii="Times New Roman" w:hAnsi="Times New Roman" w:eastAsia="SimSun"/>
                <w:b w:val="0"/>
                <w:i w:val="0"/>
                <w:color w:val="000000"/>
                <w:sz w:val="18"/>
              </w:rPr>
              <w:t>-5.522</w:t>
            </w:r>
          </w:p>
        </w:tc>
        <w:tc>
          <w:tcPr>
            <w:tcW w:type="dxa" w:w="1152"/>
            <w:vAlign w:val="center"/>
          </w:tcPr>
          <w:p>
            <w:pPr>
              <w:spacing w:after="0" w:before="0" w:line="245" w:lineRule="auto"/>
              <w:jc w:val="center"/>
            </w:pPr>
            <w:r>
              <w:rPr>
                <w:rFonts w:ascii="Times New Roman" w:hAnsi="Times New Roman" w:eastAsia="SimSun"/>
                <w:b w:val="0"/>
                <w:i w:val="0"/>
                <w:color w:val="000000"/>
                <w:sz w:val="18"/>
              </w:rPr>
              <w:t>&lt;.001</w:t>
            </w:r>
          </w:p>
        </w:tc>
        <w:tc>
          <w:tcPr>
            <w:tcW w:type="dxa" w:w="1296"/>
            <w:vAlign w:val="center"/>
          </w:tcPr>
          <w:p>
            <w:pPr>
              <w:spacing w:after="0" w:before="0" w:line="245" w:lineRule="auto"/>
              <w:jc w:val="center"/>
            </w:pPr>
            <w:r>
              <w:rPr>
                <w:rFonts w:ascii="Times New Roman" w:hAnsi="Times New Roman" w:eastAsia="SimSun"/>
                <w:b w:val="0"/>
                <w:i w:val="0"/>
                <w:color w:val="000000"/>
                <w:sz w:val="18"/>
              </w:rPr>
              <w:t>&lt;.001</w:t>
            </w:r>
          </w:p>
        </w:tc>
      </w:tr>
      <w:tr>
        <w:trPr>
          <w:cantSplit/>
        </w:trPr>
        <w:tc>
          <w:tcPr>
            <w:tcW w:type="dxa" w:w="1800"/>
            <w:vAlign w:val="center"/>
          </w:tcPr>
          <w:p>
            <w:pPr>
              <w:spacing w:after="0" w:before="0" w:line="245" w:lineRule="auto"/>
              <w:jc w:val="left"/>
            </w:pPr>
            <w:r>
              <w:rPr>
                <w:rFonts w:ascii="Times New Roman" w:hAnsi="Times New Roman" w:eastAsia="SimSun"/>
                <w:b w:val="0"/>
                <w:i w:val="0"/>
                <w:color w:val="000000"/>
                <w:sz w:val="18"/>
              </w:rPr>
              <w:t>DGC</w:t>
            </w:r>
          </w:p>
        </w:tc>
        <w:tc>
          <w:tcPr>
            <w:tcW w:type="dxa" w:w="1008"/>
            <w:vAlign w:val="center"/>
          </w:tcPr>
          <w:p>
            <w:pPr>
              <w:spacing w:after="0" w:before="0" w:line="245" w:lineRule="auto"/>
              <w:jc w:val="center"/>
            </w:pPr>
            <w:r>
              <w:rPr>
                <w:rFonts w:ascii="Times New Roman" w:hAnsi="Times New Roman" w:eastAsia="SimSun"/>
                <w:b w:val="0"/>
                <w:i w:val="0"/>
                <w:color w:val="000000"/>
                <w:sz w:val="18"/>
              </w:rPr>
              <w:t>1.007</w:t>
            </w:r>
          </w:p>
        </w:tc>
        <w:tc>
          <w:tcPr>
            <w:tcW w:type="dxa" w:w="3168"/>
            <w:vAlign w:val="center"/>
          </w:tcPr>
          <w:p>
            <w:pPr>
              <w:spacing w:after="0" w:before="0" w:line="245" w:lineRule="auto"/>
              <w:jc w:val="center"/>
            </w:pPr>
            <w:r>
              <w:rPr>
                <w:rFonts w:ascii="Times New Roman" w:hAnsi="Times New Roman" w:eastAsia="SimSun"/>
                <w:b w:val="0"/>
                <w:i w:val="0"/>
                <w:color w:val="000000"/>
                <w:sz w:val="18"/>
              </w:rPr>
              <w:t>[-0.090, 2.105]</w:t>
            </w:r>
          </w:p>
        </w:tc>
        <w:tc>
          <w:tcPr>
            <w:tcW w:type="dxa" w:w="1296"/>
            <w:vAlign w:val="center"/>
          </w:tcPr>
          <w:p>
            <w:pPr>
              <w:spacing w:after="0" w:before="0" w:line="245" w:lineRule="auto"/>
              <w:jc w:val="center"/>
            </w:pPr>
            <w:r>
              <w:rPr>
                <w:rFonts w:ascii="Times New Roman" w:hAnsi="Times New Roman" w:eastAsia="SimSun"/>
                <w:b w:val="0"/>
                <w:i w:val="0"/>
                <w:color w:val="000000"/>
                <w:sz w:val="18"/>
              </w:rPr>
              <w:t>1.847</w:t>
            </w:r>
          </w:p>
        </w:tc>
        <w:tc>
          <w:tcPr>
            <w:tcW w:type="dxa" w:w="1152"/>
            <w:vAlign w:val="center"/>
          </w:tcPr>
          <w:p>
            <w:pPr>
              <w:spacing w:after="0" w:before="0" w:line="245" w:lineRule="auto"/>
              <w:jc w:val="center"/>
            </w:pPr>
            <w:r>
              <w:rPr>
                <w:rFonts w:ascii="Times New Roman" w:hAnsi="Times New Roman" w:eastAsia="SimSun"/>
                <w:b w:val="0"/>
                <w:i w:val="0"/>
                <w:color w:val="000000"/>
                <w:sz w:val="18"/>
              </w:rPr>
              <w:t>0.071</w:t>
            </w:r>
          </w:p>
        </w:tc>
        <w:tc>
          <w:tcPr>
            <w:tcW w:type="dxa" w:w="1296"/>
            <w:vAlign w:val="center"/>
          </w:tcPr>
          <w:p>
            <w:pPr>
              <w:spacing w:after="0" w:before="0" w:line="245" w:lineRule="auto"/>
              <w:jc w:val="center"/>
            </w:pPr>
            <w:r>
              <w:rPr>
                <w:rFonts w:ascii="Times New Roman" w:hAnsi="Times New Roman" w:eastAsia="SimSun"/>
                <w:b w:val="0"/>
                <w:i w:val="0"/>
                <w:color w:val="000000"/>
                <w:sz w:val="18"/>
              </w:rPr>
              <w:t>0.142</w:t>
            </w:r>
          </w:p>
        </w:tc>
      </w:tr>
      <w:tr>
        <w:trPr>
          <w:cantSplit/>
        </w:trPr>
        <w:tc>
          <w:tcPr>
            <w:tcW w:type="dxa" w:w="1800"/>
            <w:vAlign w:val="center"/>
          </w:tcPr>
          <w:p>
            <w:pPr>
              <w:spacing w:after="0" w:before="0" w:line="245" w:lineRule="auto"/>
              <w:jc w:val="left"/>
            </w:pPr>
            <w:r>
              <w:rPr>
                <w:rFonts w:ascii="Times New Roman" w:hAnsi="Times New Roman" w:eastAsia="SimSun"/>
                <w:b w:val="0"/>
                <w:i w:val="0"/>
                <w:color w:val="000000"/>
                <w:sz w:val="18"/>
              </w:rPr>
              <w:t>RT × DGC</w:t>
            </w:r>
          </w:p>
        </w:tc>
        <w:tc>
          <w:tcPr>
            <w:tcW w:type="dxa" w:w="1008"/>
            <w:vAlign w:val="center"/>
          </w:tcPr>
          <w:p>
            <w:pPr>
              <w:spacing w:after="0" w:before="0" w:line="245" w:lineRule="auto"/>
              <w:jc w:val="center"/>
            </w:pPr>
            <w:r>
              <w:rPr>
                <w:rFonts w:ascii="Times New Roman" w:hAnsi="Times New Roman" w:eastAsia="SimSun"/>
                <w:b w:val="0"/>
                <w:i w:val="0"/>
                <w:color w:val="000000"/>
                <w:sz w:val="18"/>
              </w:rPr>
              <w:t>0.162</w:t>
            </w:r>
          </w:p>
        </w:tc>
        <w:tc>
          <w:tcPr>
            <w:tcW w:type="dxa" w:w="3168"/>
            <w:vAlign w:val="center"/>
          </w:tcPr>
          <w:p>
            <w:pPr>
              <w:spacing w:after="0" w:before="0" w:line="245" w:lineRule="auto"/>
              <w:jc w:val="center"/>
            </w:pPr>
            <w:r>
              <w:rPr>
                <w:rFonts w:ascii="Times New Roman" w:hAnsi="Times New Roman" w:eastAsia="SimSun"/>
                <w:b w:val="0"/>
                <w:i w:val="0"/>
                <w:color w:val="000000"/>
                <w:sz w:val="18"/>
              </w:rPr>
              <w:t>[-0.391, 0.715]</w:t>
            </w:r>
          </w:p>
        </w:tc>
        <w:tc>
          <w:tcPr>
            <w:tcW w:type="dxa" w:w="1296"/>
            <w:vAlign w:val="center"/>
          </w:tcPr>
          <w:p>
            <w:pPr>
              <w:spacing w:after="0" w:before="0" w:line="245" w:lineRule="auto"/>
              <w:jc w:val="center"/>
            </w:pPr>
            <w:r>
              <w:rPr>
                <w:rFonts w:ascii="Times New Roman" w:hAnsi="Times New Roman" w:eastAsia="SimSun"/>
                <w:b w:val="0"/>
                <w:i w:val="0"/>
                <w:color w:val="000000"/>
                <w:sz w:val="18"/>
              </w:rPr>
              <w:t>0.589</w:t>
            </w:r>
          </w:p>
        </w:tc>
        <w:tc>
          <w:tcPr>
            <w:tcW w:type="dxa" w:w="1152"/>
            <w:vAlign w:val="center"/>
          </w:tcPr>
          <w:p>
            <w:pPr>
              <w:spacing w:after="0" w:before="0" w:line="245" w:lineRule="auto"/>
              <w:jc w:val="center"/>
            </w:pPr>
            <w:r>
              <w:rPr>
                <w:rFonts w:ascii="Times New Roman" w:hAnsi="Times New Roman" w:eastAsia="SimSun"/>
                <w:b w:val="0"/>
                <w:i w:val="0"/>
                <w:color w:val="000000"/>
                <w:sz w:val="18"/>
              </w:rPr>
              <w:t>0.559</w:t>
            </w:r>
          </w:p>
        </w:tc>
        <w:tc>
          <w:tcPr>
            <w:tcW w:type="dxa" w:w="1296"/>
            <w:vAlign w:val="center"/>
          </w:tcPr>
          <w:p>
            <w:pPr>
              <w:spacing w:after="0" w:before="0" w:line="245" w:lineRule="auto"/>
              <w:jc w:val="center"/>
            </w:pPr>
            <w:r>
              <w:rPr>
                <w:rFonts w:ascii="Times New Roman" w:hAnsi="Times New Roman" w:eastAsia="SimSun"/>
                <w:b w:val="0"/>
                <w:i w:val="0"/>
                <w:color w:val="000000"/>
                <w:sz w:val="18"/>
              </w:rPr>
              <w:t>1.000</w:t>
            </w:r>
          </w:p>
        </w:tc>
      </w:tr>
      <w:tr>
        <w:trPr>
          <w:cantSplit/>
        </w:trPr>
        <w:tc>
          <w:tcPr>
            <w:tcW w:type="dxa" w:w="1800"/>
            <w:vAlign w:val="center"/>
          </w:tcPr>
          <w:p>
            <w:pPr>
              <w:spacing w:after="0" w:before="0" w:line="245" w:lineRule="auto"/>
              <w:jc w:val="left"/>
            </w:pPr>
            <w:r>
              <w:rPr>
                <w:rFonts w:ascii="Times New Roman" w:hAnsi="Times New Roman" w:eastAsia="SimSun"/>
                <w:b w:val="0"/>
                <w:i w:val="0"/>
                <w:color w:val="000000"/>
                <w:sz w:val="18"/>
              </w:rPr>
              <w:t>TC × DGC</w:t>
            </w:r>
          </w:p>
        </w:tc>
        <w:tc>
          <w:tcPr>
            <w:tcW w:type="dxa" w:w="1008"/>
            <w:vAlign w:val="center"/>
          </w:tcPr>
          <w:p>
            <w:pPr>
              <w:spacing w:after="0" w:before="0" w:line="245" w:lineRule="auto"/>
              <w:jc w:val="center"/>
            </w:pPr>
            <w:r>
              <w:rPr>
                <w:rFonts w:ascii="Times New Roman" w:hAnsi="Times New Roman" w:eastAsia="SimSun"/>
                <w:b w:val="0"/>
                <w:i w:val="0"/>
                <w:color w:val="000000"/>
                <w:sz w:val="18"/>
              </w:rPr>
              <w:t>1.288</w:t>
            </w:r>
          </w:p>
        </w:tc>
        <w:tc>
          <w:tcPr>
            <w:tcW w:type="dxa" w:w="3168"/>
            <w:vAlign w:val="center"/>
          </w:tcPr>
          <w:p>
            <w:pPr>
              <w:spacing w:after="0" w:before="0" w:line="245" w:lineRule="auto"/>
              <w:jc w:val="center"/>
            </w:pPr>
            <w:r>
              <w:rPr>
                <w:rFonts w:ascii="Times New Roman" w:hAnsi="Times New Roman" w:eastAsia="SimSun"/>
                <w:b w:val="0"/>
                <w:i w:val="0"/>
                <w:color w:val="000000"/>
                <w:sz w:val="18"/>
              </w:rPr>
              <w:t>[-2.371, 4.946]</w:t>
            </w:r>
          </w:p>
        </w:tc>
        <w:tc>
          <w:tcPr>
            <w:tcW w:type="dxa" w:w="1296"/>
            <w:vAlign w:val="center"/>
          </w:tcPr>
          <w:p>
            <w:pPr>
              <w:spacing w:after="0" w:before="0" w:line="245" w:lineRule="auto"/>
              <w:jc w:val="center"/>
            </w:pPr>
            <w:r>
              <w:rPr>
                <w:rFonts w:ascii="Times New Roman" w:hAnsi="Times New Roman" w:eastAsia="SimSun"/>
                <w:b w:val="0"/>
                <w:i w:val="0"/>
                <w:color w:val="000000"/>
                <w:sz w:val="18"/>
              </w:rPr>
              <w:t>0.709</w:t>
            </w:r>
          </w:p>
        </w:tc>
        <w:tc>
          <w:tcPr>
            <w:tcW w:type="dxa" w:w="1152"/>
            <w:vAlign w:val="center"/>
          </w:tcPr>
          <w:p>
            <w:pPr>
              <w:spacing w:after="0" w:before="0" w:line="245" w:lineRule="auto"/>
              <w:jc w:val="center"/>
            </w:pPr>
            <w:r>
              <w:rPr>
                <w:rFonts w:ascii="Times New Roman" w:hAnsi="Times New Roman" w:eastAsia="SimSun"/>
                <w:b w:val="0"/>
                <w:i w:val="0"/>
                <w:color w:val="000000"/>
                <w:sz w:val="18"/>
              </w:rPr>
              <w:t>0.482</w:t>
            </w:r>
          </w:p>
        </w:tc>
        <w:tc>
          <w:tcPr>
            <w:tcW w:type="dxa" w:w="1296"/>
            <w:vAlign w:val="center"/>
          </w:tcPr>
          <w:p>
            <w:pPr>
              <w:spacing w:after="0" w:before="0" w:line="245" w:lineRule="auto"/>
              <w:jc w:val="center"/>
            </w:pPr>
            <w:r>
              <w:rPr>
                <w:rFonts w:ascii="Times New Roman" w:hAnsi="Times New Roman" w:eastAsia="SimSun"/>
                <w:b w:val="0"/>
                <w:i w:val="0"/>
                <w:color w:val="000000"/>
                <w:sz w:val="18"/>
              </w:rPr>
              <w:t>1.000</w:t>
            </w:r>
          </w:p>
        </w:tc>
      </w:tr>
      <w:tr>
        <w:trPr>
          <w:cantSplit/>
        </w:trPr>
        <w:tc>
          <w:tcPr>
            <w:tcW w:type="dxa" w:w="1800"/>
            <w:vAlign w:val="center"/>
          </w:tcPr>
          <w:p>
            <w:pPr>
              <w:spacing w:after="0" w:before="0" w:line="245" w:lineRule="auto"/>
              <w:jc w:val="left"/>
            </w:pPr>
            <w:r>
              <w:rPr>
                <w:rFonts w:ascii="Times New Roman" w:hAnsi="Times New Roman" w:eastAsia="SimSun"/>
                <w:b w:val="0"/>
                <w:i w:val="0"/>
                <w:color w:val="000000"/>
                <w:sz w:val="18"/>
              </w:rPr>
              <w:t>GC × DGC</w:t>
            </w:r>
          </w:p>
        </w:tc>
        <w:tc>
          <w:tcPr>
            <w:tcW w:type="dxa" w:w="1008"/>
            <w:vAlign w:val="center"/>
          </w:tcPr>
          <w:p>
            <w:pPr>
              <w:spacing w:after="0" w:before="0" w:line="245" w:lineRule="auto"/>
              <w:jc w:val="center"/>
            </w:pPr>
            <w:r>
              <w:rPr>
                <w:rFonts w:ascii="Times New Roman" w:hAnsi="Times New Roman" w:eastAsia="SimSun"/>
                <w:b w:val="0"/>
                <w:i w:val="0"/>
                <w:color w:val="000000"/>
                <w:sz w:val="18"/>
              </w:rPr>
              <w:t>-4.004</w:t>
            </w:r>
          </w:p>
        </w:tc>
        <w:tc>
          <w:tcPr>
            <w:tcW w:type="dxa" w:w="3168"/>
            <w:vAlign w:val="center"/>
          </w:tcPr>
          <w:p>
            <w:pPr>
              <w:spacing w:after="0" w:before="0" w:line="245" w:lineRule="auto"/>
              <w:jc w:val="center"/>
            </w:pPr>
            <w:r>
              <w:rPr>
                <w:rFonts w:ascii="Times New Roman" w:hAnsi="Times New Roman" w:eastAsia="SimSun"/>
                <w:b w:val="0"/>
                <w:i w:val="0"/>
                <w:color w:val="000000"/>
                <w:sz w:val="18"/>
              </w:rPr>
              <w:t>[-9.694, 1.686]</w:t>
            </w:r>
          </w:p>
        </w:tc>
        <w:tc>
          <w:tcPr>
            <w:tcW w:type="dxa" w:w="1296"/>
            <w:vAlign w:val="center"/>
          </w:tcPr>
          <w:p>
            <w:pPr>
              <w:spacing w:after="0" w:before="0" w:line="245" w:lineRule="auto"/>
              <w:jc w:val="center"/>
            </w:pPr>
            <w:r>
              <w:rPr>
                <w:rFonts w:ascii="Times New Roman" w:hAnsi="Times New Roman" w:eastAsia="SimSun"/>
                <w:b w:val="0"/>
                <w:i w:val="0"/>
                <w:color w:val="000000"/>
                <w:sz w:val="18"/>
              </w:rPr>
              <w:t>-1.416</w:t>
            </w:r>
          </w:p>
        </w:tc>
        <w:tc>
          <w:tcPr>
            <w:tcW w:type="dxa" w:w="1152"/>
            <w:vAlign w:val="center"/>
          </w:tcPr>
          <w:p>
            <w:pPr>
              <w:spacing w:after="0" w:before="0" w:line="245" w:lineRule="auto"/>
              <w:jc w:val="center"/>
            </w:pPr>
            <w:r>
              <w:rPr>
                <w:rFonts w:ascii="Times New Roman" w:hAnsi="Times New Roman" w:eastAsia="SimSun"/>
                <w:b w:val="0"/>
                <w:i w:val="0"/>
                <w:color w:val="000000"/>
                <w:sz w:val="18"/>
              </w:rPr>
              <w:t>0.163</w:t>
            </w:r>
          </w:p>
        </w:tc>
        <w:tc>
          <w:tcPr>
            <w:tcW w:type="dxa" w:w="1296"/>
            <w:vAlign w:val="center"/>
          </w:tcPr>
          <w:p>
            <w:pPr>
              <w:spacing w:after="0" w:before="0" w:line="245" w:lineRule="auto"/>
              <w:jc w:val="center"/>
            </w:pPr>
            <w:r>
              <w:rPr>
                <w:rFonts w:ascii="Times New Roman" w:hAnsi="Times New Roman" w:eastAsia="SimSun"/>
                <w:b w:val="0"/>
                <w:i w:val="0"/>
                <w:color w:val="000000"/>
                <w:sz w:val="18"/>
              </w:rPr>
              <w:t>0.817</w:t>
            </w:r>
          </w:p>
        </w:tc>
      </w:tr>
    </w:tbl>
    <w:p>
      <w:pPr>
        <w:pStyle w:val="15"/>
        <w:spacing w:before="0" w:after="100" w:line="240" w:lineRule="auto"/>
      </w:pPr>
      <w:r>
        <w:rPr>
          <w:rFonts w:ascii="Times New Roman" w:hAnsi="Times New Roman" w:eastAsia="SimSun"/>
          <w:b w:val="0"/>
          <w:i w:val="0"/>
          <w:color w:val="000000"/>
          <w:sz w:val="18"/>
        </w:rPr>
        <w:t>N=54. Main slopes evaluated at DGC=.20 and other centered design means. TC/GC/DGC coefficients are per 1.0-unit change. Main slopes retain the eight-test Holm family; interactions the six-test family. Categorical F and numeric slope tests have different null hypotheses.</w:t>
      </w:r>
    </w:p>
    <w:p>
      <w:pPr>
        <w:spacing w:before="0" w:after="100" w:line="254" w:lineRule="auto"/>
      </w:pPr>
      <w:r>
        <w:rPr>
          <w:rFonts w:ascii="Times New Roman" w:hAnsi="Times New Roman" w:eastAsia="SimSun"/>
          <w:b w:val="0"/>
          <w:i w:val="0"/>
          <w:color w:val="000000"/>
          <w:sz w:val="22"/>
        </w:rPr>
        <w:t>The GC .75−.25 effect differs by-0.801 steps between DGC=.4 and 0 (95% CI[-1.939, 0.337]; adjusted p=0.817). Its interval includes zero. RT and TC moderation are also uncertain, and fully categorical interaction tests yield no corrected evidence. Separate significance within one DGC stratum does not establish a difference between strata.</w:t>
      </w:r>
    </w:p>
    <w:p>
      <w:r>
        <w:br w:type="page"/>
      </w:r>
    </w:p>
    <w:p>
      <w:pPr>
        <w:pStyle w:val="3"/>
        <w:spacing w:before="160" w:after="100"/>
      </w:pPr>
      <w:r>
        <w:rPr>
          <w:rFonts w:ascii="Times New Roman" w:hAnsi="Times New Roman" w:eastAsia="SimSun"/>
          <w:b/>
          <w:i w:val="0"/>
          <w:color w:val="000000"/>
          <w:sz w:val="26"/>
        </w:rPr>
        <w:t>7 Pairwise comparisons and timing interpretation</w:t>
      </w:r>
    </w:p>
    <w:p>
      <w:pPr>
        <w:pStyle w:val="15"/>
        <w:keepNext/>
        <w:spacing w:before="0" w:after="100" w:line="240" w:lineRule="auto"/>
      </w:pPr>
      <w:r>
        <w:rPr>
          <w:rFonts w:ascii="Times New Roman" w:hAnsi="Times New Roman" w:eastAsia="SimSun"/>
          <w:b w:val="0"/>
          <w:i w:val="0"/>
          <w:color w:val="000000"/>
          <w:sz w:val="18"/>
        </w:rPr>
        <w:t>Table 5  All pairwise level contrasts for FB TBU</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75" w:type="dxa"/>
          <w:right w:w="75" w:type="dxa"/>
        </w:tblCellMar>
      </w:tblPr>
      <w:tblGrid>
        <w:gridCol w:w="864"/>
        <w:gridCol w:w="1656"/>
        <w:gridCol w:w="1440"/>
        <w:gridCol w:w="3024"/>
        <w:gridCol w:w="1296"/>
        <w:gridCol w:w="1440"/>
      </w:tblGrid>
      <w:tr>
        <w:trPr>
          <w:tblHeader/>
          <w:cantSplit/>
        </w:trPr>
        <w:tc>
          <w:tcPr>
            <w:tcW w:type="dxa" w:w="864"/>
            <w:vAlign w:val="center"/>
            <w:shd w:fill="E5ECF1"/>
          </w:tcPr>
          <w:p>
            <w:pPr>
              <w:keepNext/>
              <w:spacing w:after="0" w:before="0" w:line="245" w:lineRule="auto"/>
              <w:jc w:val="left"/>
            </w:pPr>
            <w:r>
              <w:rPr>
                <w:rFonts w:ascii="Times New Roman" w:hAnsi="Times New Roman" w:eastAsia="SimSun"/>
                <w:b/>
                <w:i w:val="0"/>
                <w:color w:val="000000"/>
                <w:sz w:val="18"/>
              </w:rPr>
              <w:t>Factor</w:t>
            </w:r>
          </w:p>
        </w:tc>
        <w:tc>
          <w:tcPr>
            <w:tcW w:type="dxa" w:w="1656"/>
            <w:vAlign w:val="center"/>
            <w:shd w:fill="E5ECF1"/>
          </w:tcPr>
          <w:p>
            <w:pPr>
              <w:keepNext/>
              <w:spacing w:after="0" w:before="0" w:line="245" w:lineRule="auto"/>
              <w:jc w:val="center"/>
            </w:pPr>
            <w:r>
              <w:rPr>
                <w:rFonts w:ascii="Times New Roman" w:hAnsi="Times New Roman" w:eastAsia="SimSun"/>
                <w:b/>
                <w:i w:val="0"/>
                <w:color w:val="000000"/>
                <w:sz w:val="18"/>
              </w:rPr>
              <w:t>High−low</w:t>
            </w:r>
          </w:p>
        </w:tc>
        <w:tc>
          <w:tcPr>
            <w:tcW w:type="dxa" w:w="1440"/>
            <w:vAlign w:val="center"/>
            <w:shd w:fill="E5ECF1"/>
          </w:tcPr>
          <w:p>
            <w:pPr>
              <w:keepNext/>
              <w:spacing w:after="0" w:before="0" w:line="245" w:lineRule="auto"/>
              <w:jc w:val="center"/>
            </w:pPr>
            <w:r>
              <w:rPr>
                <w:rFonts w:ascii="Times New Roman" w:hAnsi="Times New Roman" w:eastAsia="SimSun"/>
                <w:b/>
                <w:i w:val="0"/>
                <w:color w:val="000000"/>
                <w:sz w:val="18"/>
              </w:rPr>
              <w:t>Difference</w:t>
              <w:br/>
              <w:t>steps</w:t>
            </w:r>
          </w:p>
        </w:tc>
        <w:tc>
          <w:tcPr>
            <w:tcW w:type="dxa" w:w="3024"/>
            <w:vAlign w:val="center"/>
            <w:shd w:fill="E5ECF1"/>
          </w:tcPr>
          <w:p>
            <w:pPr>
              <w:keepNext/>
              <w:spacing w:after="0" w:before="0" w:line="245" w:lineRule="auto"/>
              <w:jc w:val="center"/>
            </w:pPr>
            <w:r>
              <w:rPr>
                <w:rFonts w:ascii="Times New Roman" w:hAnsi="Times New Roman" w:eastAsia="SimSun"/>
                <w:b/>
                <w:i w:val="0"/>
                <w:color w:val="000000"/>
                <w:sz w:val="18"/>
              </w:rPr>
              <w:t>95% CI</w:t>
            </w:r>
          </w:p>
        </w:tc>
        <w:tc>
          <w:tcPr>
            <w:tcW w:type="dxa" w:w="1296"/>
            <w:vAlign w:val="center"/>
            <w:shd w:fill="E5ECF1"/>
          </w:tcPr>
          <w:p>
            <w:pPr>
              <w:keepNext/>
              <w:spacing w:after="0" w:before="0" w:line="245" w:lineRule="auto"/>
              <w:jc w:val="center"/>
            </w:pPr>
            <w:r>
              <w:rPr>
                <w:rFonts w:ascii="Times New Roman" w:hAnsi="Times New Roman" w:eastAsia="SimSun"/>
                <w:b/>
                <w:i w:val="0"/>
                <w:color w:val="000000"/>
                <w:sz w:val="18"/>
              </w:rPr>
              <w:t>Raw p</w:t>
            </w:r>
          </w:p>
        </w:tc>
        <w:tc>
          <w:tcPr>
            <w:tcW w:type="dxa" w:w="1440"/>
            <w:vAlign w:val="center"/>
            <w:shd w:fill="E5ECF1"/>
          </w:tcPr>
          <w:p>
            <w:pPr>
              <w:keepNext/>
              <w:spacing w:after="0" w:before="0" w:line="245" w:lineRule="auto"/>
              <w:jc w:val="center"/>
            </w:pPr>
            <w:r>
              <w:rPr>
                <w:rFonts w:ascii="Times New Roman" w:hAnsi="Times New Roman" w:eastAsia="SimSun"/>
                <w:b/>
                <w:i w:val="0"/>
                <w:color w:val="000000"/>
                <w:sz w:val="18"/>
              </w:rPr>
              <w:t>Adjusted p</w:t>
            </w:r>
          </w:p>
        </w:tc>
      </w:tr>
      <w:tr>
        <w:trPr>
          <w:cantSplit/>
        </w:trPr>
        <w:tc>
          <w:tcPr>
            <w:tcW w:type="dxa" w:w="864"/>
            <w:vAlign w:val="center"/>
          </w:tcPr>
          <w:p>
            <w:pPr>
              <w:spacing w:after="0" w:before="0" w:line="245" w:lineRule="auto"/>
              <w:jc w:val="left"/>
            </w:pPr>
            <w:r>
              <w:rPr>
                <w:rFonts w:ascii="Times New Roman" w:hAnsi="Times New Roman" w:eastAsia="SimSun"/>
                <w:b w:val="0"/>
                <w:i w:val="0"/>
                <w:color w:val="000000"/>
                <w:sz w:val="18"/>
              </w:rPr>
              <w:t>RT</w:t>
            </w:r>
          </w:p>
        </w:tc>
        <w:tc>
          <w:tcPr>
            <w:tcW w:type="dxa" w:w="1656"/>
            <w:vAlign w:val="center"/>
          </w:tcPr>
          <w:p>
            <w:pPr>
              <w:spacing w:after="0" w:before="0" w:line="245" w:lineRule="auto"/>
              <w:jc w:val="center"/>
            </w:pPr>
            <w:r>
              <w:rPr>
                <w:rFonts w:ascii="Times New Roman" w:hAnsi="Times New Roman" w:eastAsia="SimSun"/>
                <w:b w:val="0"/>
                <w:i w:val="0"/>
                <w:color w:val="000000"/>
                <w:sz w:val="18"/>
              </w:rPr>
              <w:t>4 − 2</w:t>
            </w:r>
          </w:p>
        </w:tc>
        <w:tc>
          <w:tcPr>
            <w:tcW w:type="dxa" w:w="1440"/>
            <w:vAlign w:val="center"/>
          </w:tcPr>
          <w:p>
            <w:pPr>
              <w:spacing w:after="0" w:before="0" w:line="245" w:lineRule="auto"/>
              <w:jc w:val="center"/>
            </w:pPr>
            <w:r>
              <w:rPr>
                <w:rFonts w:ascii="Times New Roman" w:hAnsi="Times New Roman" w:eastAsia="SimSun"/>
                <w:b w:val="0"/>
                <w:i w:val="0"/>
                <w:color w:val="000000"/>
                <w:sz w:val="18"/>
              </w:rPr>
              <w:t>1.607</w:t>
            </w:r>
          </w:p>
        </w:tc>
        <w:tc>
          <w:tcPr>
            <w:tcW w:type="dxa" w:w="3024"/>
            <w:vAlign w:val="center"/>
          </w:tcPr>
          <w:p>
            <w:pPr>
              <w:spacing w:after="0" w:before="0" w:line="245" w:lineRule="auto"/>
              <w:jc w:val="center"/>
            </w:pPr>
            <w:r>
              <w:rPr>
                <w:rFonts w:ascii="Times New Roman" w:hAnsi="Times New Roman" w:eastAsia="SimSun"/>
                <w:b w:val="0"/>
                <w:i w:val="0"/>
                <w:color w:val="000000"/>
                <w:sz w:val="18"/>
              </w:rPr>
              <w:t>[1.174, 2.040]</w:t>
            </w:r>
          </w:p>
        </w:tc>
        <w:tc>
          <w:tcPr>
            <w:tcW w:type="dxa" w:w="1296"/>
            <w:vAlign w:val="center"/>
          </w:tcPr>
          <w:p>
            <w:pPr>
              <w:spacing w:after="0" w:before="0" w:line="245" w:lineRule="auto"/>
              <w:jc w:val="center"/>
            </w:pPr>
            <w:r>
              <w:rPr>
                <w:rFonts w:ascii="Times New Roman" w:hAnsi="Times New Roman" w:eastAsia="SimSun"/>
                <w:b w:val="0"/>
                <w:i w:val="0"/>
                <w:color w:val="000000"/>
                <w:sz w:val="18"/>
              </w:rPr>
              <w:t>&lt;.001</w:t>
            </w:r>
          </w:p>
        </w:tc>
        <w:tc>
          <w:tcPr>
            <w:tcW w:type="dxa" w:w="1440"/>
            <w:vAlign w:val="center"/>
          </w:tcPr>
          <w:p>
            <w:pPr>
              <w:spacing w:after="0" w:before="0" w:line="245" w:lineRule="auto"/>
              <w:jc w:val="center"/>
            </w:pPr>
            <w:r>
              <w:rPr>
                <w:rFonts w:ascii="Times New Roman" w:hAnsi="Times New Roman" w:eastAsia="SimSun"/>
                <w:b w:val="0"/>
                <w:i w:val="0"/>
                <w:color w:val="000000"/>
                <w:sz w:val="18"/>
              </w:rPr>
              <w:t>&lt;.001</w:t>
            </w:r>
          </w:p>
        </w:tc>
      </w:tr>
      <w:tr>
        <w:trPr>
          <w:cantSplit/>
        </w:trPr>
        <w:tc>
          <w:tcPr>
            <w:tcW w:type="dxa" w:w="864"/>
            <w:vAlign w:val="center"/>
          </w:tcPr>
          <w:p>
            <w:pPr>
              <w:spacing w:after="0" w:before="0" w:line="245" w:lineRule="auto"/>
              <w:jc w:val="left"/>
            </w:pPr>
            <w:r>
              <w:rPr>
                <w:rFonts w:ascii="Times New Roman" w:hAnsi="Times New Roman" w:eastAsia="SimSun"/>
                <w:b w:val="0"/>
                <w:i w:val="0"/>
                <w:color w:val="000000"/>
                <w:sz w:val="18"/>
              </w:rPr>
              <w:t>RT</w:t>
            </w:r>
          </w:p>
        </w:tc>
        <w:tc>
          <w:tcPr>
            <w:tcW w:type="dxa" w:w="1656"/>
            <w:vAlign w:val="center"/>
          </w:tcPr>
          <w:p>
            <w:pPr>
              <w:spacing w:after="0" w:before="0" w:line="245" w:lineRule="auto"/>
              <w:jc w:val="center"/>
            </w:pPr>
            <w:r>
              <w:rPr>
                <w:rFonts w:ascii="Times New Roman" w:hAnsi="Times New Roman" w:eastAsia="SimSun"/>
                <w:b w:val="0"/>
                <w:i w:val="0"/>
                <w:color w:val="000000"/>
                <w:sz w:val="18"/>
              </w:rPr>
              <w:t>7 − 2</w:t>
            </w:r>
          </w:p>
        </w:tc>
        <w:tc>
          <w:tcPr>
            <w:tcW w:type="dxa" w:w="1440"/>
            <w:vAlign w:val="center"/>
          </w:tcPr>
          <w:p>
            <w:pPr>
              <w:spacing w:after="0" w:before="0" w:line="245" w:lineRule="auto"/>
              <w:jc w:val="center"/>
            </w:pPr>
            <w:r>
              <w:rPr>
                <w:rFonts w:ascii="Times New Roman" w:hAnsi="Times New Roman" w:eastAsia="SimSun"/>
                <w:b w:val="0"/>
                <w:i w:val="0"/>
                <w:color w:val="000000"/>
                <w:sz w:val="18"/>
              </w:rPr>
              <w:t>3.838</w:t>
            </w:r>
          </w:p>
        </w:tc>
        <w:tc>
          <w:tcPr>
            <w:tcW w:type="dxa" w:w="3024"/>
            <w:vAlign w:val="center"/>
          </w:tcPr>
          <w:p>
            <w:pPr>
              <w:spacing w:after="0" w:before="0" w:line="245" w:lineRule="auto"/>
              <w:jc w:val="center"/>
            </w:pPr>
            <w:r>
              <w:rPr>
                <w:rFonts w:ascii="Times New Roman" w:hAnsi="Times New Roman" w:eastAsia="SimSun"/>
                <w:b w:val="0"/>
                <w:i w:val="0"/>
                <w:color w:val="000000"/>
                <w:sz w:val="18"/>
              </w:rPr>
              <w:t>[3.317, 4.358]</w:t>
            </w:r>
          </w:p>
        </w:tc>
        <w:tc>
          <w:tcPr>
            <w:tcW w:type="dxa" w:w="1296"/>
            <w:vAlign w:val="center"/>
          </w:tcPr>
          <w:p>
            <w:pPr>
              <w:spacing w:after="0" w:before="0" w:line="245" w:lineRule="auto"/>
              <w:jc w:val="center"/>
            </w:pPr>
            <w:r>
              <w:rPr>
                <w:rFonts w:ascii="Times New Roman" w:hAnsi="Times New Roman" w:eastAsia="SimSun"/>
                <w:b w:val="0"/>
                <w:i w:val="0"/>
                <w:color w:val="000000"/>
                <w:sz w:val="18"/>
              </w:rPr>
              <w:t>&lt;.001</w:t>
            </w:r>
          </w:p>
        </w:tc>
        <w:tc>
          <w:tcPr>
            <w:tcW w:type="dxa" w:w="1440"/>
            <w:vAlign w:val="center"/>
          </w:tcPr>
          <w:p>
            <w:pPr>
              <w:spacing w:after="0" w:before="0" w:line="245" w:lineRule="auto"/>
              <w:jc w:val="center"/>
            </w:pPr>
            <w:r>
              <w:rPr>
                <w:rFonts w:ascii="Times New Roman" w:hAnsi="Times New Roman" w:eastAsia="SimSun"/>
                <w:b w:val="0"/>
                <w:i w:val="0"/>
                <w:color w:val="000000"/>
                <w:sz w:val="18"/>
              </w:rPr>
              <w:t>&lt;.001</w:t>
            </w:r>
          </w:p>
        </w:tc>
      </w:tr>
      <w:tr>
        <w:trPr>
          <w:cantSplit/>
        </w:trPr>
        <w:tc>
          <w:tcPr>
            <w:tcW w:type="dxa" w:w="864"/>
            <w:vAlign w:val="center"/>
          </w:tcPr>
          <w:p>
            <w:pPr>
              <w:spacing w:after="0" w:before="0" w:line="245" w:lineRule="auto"/>
              <w:jc w:val="left"/>
            </w:pPr>
            <w:r>
              <w:rPr>
                <w:rFonts w:ascii="Times New Roman" w:hAnsi="Times New Roman" w:eastAsia="SimSun"/>
                <w:b w:val="0"/>
                <w:i w:val="0"/>
                <w:color w:val="000000"/>
                <w:sz w:val="18"/>
              </w:rPr>
              <w:t>RT</w:t>
            </w:r>
          </w:p>
        </w:tc>
        <w:tc>
          <w:tcPr>
            <w:tcW w:type="dxa" w:w="1656"/>
            <w:vAlign w:val="center"/>
          </w:tcPr>
          <w:p>
            <w:pPr>
              <w:spacing w:after="0" w:before="0" w:line="245" w:lineRule="auto"/>
              <w:jc w:val="center"/>
            </w:pPr>
            <w:r>
              <w:rPr>
                <w:rFonts w:ascii="Times New Roman" w:hAnsi="Times New Roman" w:eastAsia="SimSun"/>
                <w:b w:val="0"/>
                <w:i w:val="0"/>
                <w:color w:val="000000"/>
                <w:sz w:val="18"/>
              </w:rPr>
              <w:t>7 − 4</w:t>
            </w:r>
          </w:p>
        </w:tc>
        <w:tc>
          <w:tcPr>
            <w:tcW w:type="dxa" w:w="1440"/>
            <w:vAlign w:val="center"/>
          </w:tcPr>
          <w:p>
            <w:pPr>
              <w:spacing w:after="0" w:before="0" w:line="245" w:lineRule="auto"/>
              <w:jc w:val="center"/>
            </w:pPr>
            <w:r>
              <w:rPr>
                <w:rFonts w:ascii="Times New Roman" w:hAnsi="Times New Roman" w:eastAsia="SimSun"/>
                <w:b w:val="0"/>
                <w:i w:val="0"/>
                <w:color w:val="000000"/>
                <w:sz w:val="18"/>
              </w:rPr>
              <w:t>2.231</w:t>
            </w:r>
          </w:p>
        </w:tc>
        <w:tc>
          <w:tcPr>
            <w:tcW w:type="dxa" w:w="3024"/>
            <w:vAlign w:val="center"/>
          </w:tcPr>
          <w:p>
            <w:pPr>
              <w:spacing w:after="0" w:before="0" w:line="245" w:lineRule="auto"/>
              <w:jc w:val="center"/>
            </w:pPr>
            <w:r>
              <w:rPr>
                <w:rFonts w:ascii="Times New Roman" w:hAnsi="Times New Roman" w:eastAsia="SimSun"/>
                <w:b w:val="0"/>
                <w:i w:val="0"/>
                <w:color w:val="000000"/>
                <w:sz w:val="18"/>
              </w:rPr>
              <w:t>[1.786, 2.675]</w:t>
            </w:r>
          </w:p>
        </w:tc>
        <w:tc>
          <w:tcPr>
            <w:tcW w:type="dxa" w:w="1296"/>
            <w:vAlign w:val="center"/>
          </w:tcPr>
          <w:p>
            <w:pPr>
              <w:spacing w:after="0" w:before="0" w:line="245" w:lineRule="auto"/>
              <w:jc w:val="center"/>
            </w:pPr>
            <w:r>
              <w:rPr>
                <w:rFonts w:ascii="Times New Roman" w:hAnsi="Times New Roman" w:eastAsia="SimSun"/>
                <w:b w:val="0"/>
                <w:i w:val="0"/>
                <w:color w:val="000000"/>
                <w:sz w:val="18"/>
              </w:rPr>
              <w:t>&lt;.001</w:t>
            </w:r>
          </w:p>
        </w:tc>
        <w:tc>
          <w:tcPr>
            <w:tcW w:type="dxa" w:w="1440"/>
            <w:vAlign w:val="center"/>
          </w:tcPr>
          <w:p>
            <w:pPr>
              <w:spacing w:after="0" w:before="0" w:line="245" w:lineRule="auto"/>
              <w:jc w:val="center"/>
            </w:pPr>
            <w:r>
              <w:rPr>
                <w:rFonts w:ascii="Times New Roman" w:hAnsi="Times New Roman" w:eastAsia="SimSun"/>
                <w:b w:val="0"/>
                <w:i w:val="0"/>
                <w:color w:val="000000"/>
                <w:sz w:val="18"/>
              </w:rPr>
              <w:t>&lt;.001</w:t>
            </w:r>
          </w:p>
        </w:tc>
      </w:tr>
      <w:tr>
        <w:trPr>
          <w:cantSplit/>
        </w:trPr>
        <w:tc>
          <w:tcPr>
            <w:tcW w:type="dxa" w:w="864"/>
            <w:vAlign w:val="center"/>
          </w:tcPr>
          <w:p>
            <w:pPr>
              <w:spacing w:after="0" w:before="0" w:line="245" w:lineRule="auto"/>
              <w:jc w:val="left"/>
            </w:pPr>
            <w:r>
              <w:rPr>
                <w:rFonts w:ascii="Times New Roman" w:hAnsi="Times New Roman" w:eastAsia="SimSun"/>
                <w:b w:val="0"/>
                <w:i w:val="0"/>
                <w:color w:val="000000"/>
                <w:sz w:val="18"/>
              </w:rPr>
              <w:t>TC</w:t>
            </w:r>
          </w:p>
        </w:tc>
        <w:tc>
          <w:tcPr>
            <w:tcW w:type="dxa" w:w="1656"/>
            <w:vAlign w:val="center"/>
          </w:tcPr>
          <w:p>
            <w:pPr>
              <w:spacing w:after="0" w:before="0" w:line="245" w:lineRule="auto"/>
              <w:jc w:val="center"/>
            </w:pPr>
            <w:r>
              <w:rPr>
                <w:rFonts w:ascii="Times New Roman" w:hAnsi="Times New Roman" w:eastAsia="SimSun"/>
                <w:b w:val="0"/>
                <w:i w:val="0"/>
                <w:color w:val="000000"/>
                <w:sz w:val="18"/>
              </w:rPr>
              <w:t>0.8 − 0.2</w:t>
            </w:r>
          </w:p>
        </w:tc>
        <w:tc>
          <w:tcPr>
            <w:tcW w:type="dxa" w:w="1440"/>
            <w:vAlign w:val="center"/>
          </w:tcPr>
          <w:p>
            <w:pPr>
              <w:spacing w:after="0" w:before="0" w:line="245" w:lineRule="auto"/>
              <w:jc w:val="center"/>
            </w:pPr>
            <w:r>
              <w:rPr>
                <w:rFonts w:ascii="Times New Roman" w:hAnsi="Times New Roman" w:eastAsia="SimSun"/>
                <w:b w:val="0"/>
                <w:i w:val="0"/>
                <w:color w:val="000000"/>
                <w:sz w:val="18"/>
              </w:rPr>
              <w:t>-0.806</w:t>
            </w:r>
          </w:p>
        </w:tc>
        <w:tc>
          <w:tcPr>
            <w:tcW w:type="dxa" w:w="3024"/>
            <w:vAlign w:val="center"/>
          </w:tcPr>
          <w:p>
            <w:pPr>
              <w:spacing w:after="0" w:before="0" w:line="245" w:lineRule="auto"/>
              <w:jc w:val="center"/>
            </w:pPr>
            <w:r>
              <w:rPr>
                <w:rFonts w:ascii="Times New Roman" w:hAnsi="Times New Roman" w:eastAsia="SimSun"/>
                <w:b w:val="0"/>
                <w:i w:val="0"/>
                <w:color w:val="000000"/>
                <w:sz w:val="18"/>
              </w:rPr>
              <w:t>[-1.187, -0.424]</w:t>
            </w:r>
          </w:p>
        </w:tc>
        <w:tc>
          <w:tcPr>
            <w:tcW w:type="dxa" w:w="1296"/>
            <w:vAlign w:val="center"/>
          </w:tcPr>
          <w:p>
            <w:pPr>
              <w:spacing w:after="0" w:before="0" w:line="245" w:lineRule="auto"/>
              <w:jc w:val="center"/>
            </w:pPr>
            <w:r>
              <w:rPr>
                <w:rFonts w:ascii="Times New Roman" w:hAnsi="Times New Roman" w:eastAsia="SimSun"/>
                <w:b w:val="0"/>
                <w:i w:val="0"/>
                <w:color w:val="000000"/>
                <w:sz w:val="18"/>
              </w:rPr>
              <w:t>&lt;.001</w:t>
            </w:r>
          </w:p>
        </w:tc>
        <w:tc>
          <w:tcPr>
            <w:tcW w:type="dxa" w:w="1440"/>
            <w:vAlign w:val="center"/>
          </w:tcPr>
          <w:p>
            <w:pPr>
              <w:spacing w:after="0" w:before="0" w:line="245" w:lineRule="auto"/>
              <w:jc w:val="center"/>
            </w:pPr>
            <w:r>
              <w:rPr>
                <w:rFonts w:ascii="Times New Roman" w:hAnsi="Times New Roman" w:eastAsia="SimSun"/>
                <w:b w:val="0"/>
                <w:i w:val="0"/>
                <w:color w:val="000000"/>
                <w:sz w:val="18"/>
              </w:rPr>
              <w:t>0.002</w:t>
            </w:r>
          </w:p>
        </w:tc>
      </w:tr>
      <w:tr>
        <w:trPr>
          <w:cantSplit/>
        </w:trPr>
        <w:tc>
          <w:tcPr>
            <w:tcW w:type="dxa" w:w="864"/>
            <w:vAlign w:val="center"/>
          </w:tcPr>
          <w:p>
            <w:pPr>
              <w:spacing w:after="0" w:before="0" w:line="245" w:lineRule="auto"/>
              <w:jc w:val="left"/>
            </w:pPr>
            <w:r>
              <w:rPr>
                <w:rFonts w:ascii="Times New Roman" w:hAnsi="Times New Roman" w:eastAsia="SimSun"/>
                <w:b w:val="0"/>
                <w:i w:val="0"/>
                <w:color w:val="000000"/>
                <w:sz w:val="18"/>
              </w:rPr>
              <w:t>GC</w:t>
            </w:r>
          </w:p>
        </w:tc>
        <w:tc>
          <w:tcPr>
            <w:tcW w:type="dxa" w:w="1656"/>
            <w:vAlign w:val="center"/>
          </w:tcPr>
          <w:p>
            <w:pPr>
              <w:spacing w:after="0" w:before="0" w:line="245" w:lineRule="auto"/>
              <w:jc w:val="center"/>
            </w:pPr>
            <w:r>
              <w:rPr>
                <w:rFonts w:ascii="Times New Roman" w:hAnsi="Times New Roman" w:eastAsia="SimSun"/>
                <w:b w:val="0"/>
                <w:i w:val="0"/>
                <w:color w:val="000000"/>
                <w:sz w:val="18"/>
              </w:rPr>
              <w:t>0.5 − 0.25</w:t>
            </w:r>
          </w:p>
        </w:tc>
        <w:tc>
          <w:tcPr>
            <w:tcW w:type="dxa" w:w="1440"/>
            <w:vAlign w:val="center"/>
          </w:tcPr>
          <w:p>
            <w:pPr>
              <w:spacing w:after="0" w:before="0" w:line="245" w:lineRule="auto"/>
              <w:jc w:val="center"/>
            </w:pPr>
            <w:r>
              <w:rPr>
                <w:rFonts w:ascii="Times New Roman" w:hAnsi="Times New Roman" w:eastAsia="SimSun"/>
                <w:b w:val="0"/>
                <w:i w:val="0"/>
                <w:color w:val="000000"/>
                <w:sz w:val="18"/>
              </w:rPr>
              <w:t>-0.969</w:t>
            </w:r>
          </w:p>
        </w:tc>
        <w:tc>
          <w:tcPr>
            <w:tcW w:type="dxa" w:w="3024"/>
            <w:vAlign w:val="center"/>
          </w:tcPr>
          <w:p>
            <w:pPr>
              <w:spacing w:after="0" w:before="0" w:line="245" w:lineRule="auto"/>
              <w:jc w:val="center"/>
            </w:pPr>
            <w:r>
              <w:rPr>
                <w:rFonts w:ascii="Times New Roman" w:hAnsi="Times New Roman" w:eastAsia="SimSun"/>
                <w:b w:val="0"/>
                <w:i w:val="0"/>
                <w:color w:val="000000"/>
                <w:sz w:val="18"/>
              </w:rPr>
              <w:t>[-1.507, -0.430]</w:t>
            </w:r>
          </w:p>
        </w:tc>
        <w:tc>
          <w:tcPr>
            <w:tcW w:type="dxa" w:w="1296"/>
            <w:vAlign w:val="center"/>
          </w:tcPr>
          <w:p>
            <w:pPr>
              <w:spacing w:after="0" w:before="0" w:line="245" w:lineRule="auto"/>
              <w:jc w:val="center"/>
            </w:pPr>
            <w:r>
              <w:rPr>
                <w:rFonts w:ascii="Times New Roman" w:hAnsi="Times New Roman" w:eastAsia="SimSun"/>
                <w:b w:val="0"/>
                <w:i w:val="0"/>
                <w:color w:val="000000"/>
                <w:sz w:val="18"/>
              </w:rPr>
              <w:t>&lt;.001</w:t>
            </w:r>
          </w:p>
        </w:tc>
        <w:tc>
          <w:tcPr>
            <w:tcW w:type="dxa" w:w="1440"/>
            <w:vAlign w:val="center"/>
          </w:tcPr>
          <w:p>
            <w:pPr>
              <w:spacing w:after="0" w:before="0" w:line="245" w:lineRule="auto"/>
              <w:jc w:val="center"/>
            </w:pPr>
            <w:r>
              <w:rPr>
                <w:rFonts w:ascii="Times New Roman" w:hAnsi="Times New Roman" w:eastAsia="SimSun"/>
                <w:b w:val="0"/>
                <w:i w:val="0"/>
                <w:color w:val="000000"/>
                <w:sz w:val="18"/>
              </w:rPr>
              <w:t>0.009</w:t>
            </w:r>
          </w:p>
        </w:tc>
      </w:tr>
      <w:tr>
        <w:trPr>
          <w:cantSplit/>
        </w:trPr>
        <w:tc>
          <w:tcPr>
            <w:tcW w:type="dxa" w:w="864"/>
            <w:vAlign w:val="center"/>
          </w:tcPr>
          <w:p>
            <w:pPr>
              <w:spacing w:after="0" w:before="0" w:line="245" w:lineRule="auto"/>
              <w:jc w:val="left"/>
            </w:pPr>
            <w:r>
              <w:rPr>
                <w:rFonts w:ascii="Times New Roman" w:hAnsi="Times New Roman" w:eastAsia="SimSun"/>
                <w:b w:val="0"/>
                <w:i w:val="0"/>
                <w:color w:val="000000"/>
                <w:sz w:val="18"/>
              </w:rPr>
              <w:t>GC</w:t>
            </w:r>
          </w:p>
        </w:tc>
        <w:tc>
          <w:tcPr>
            <w:tcW w:type="dxa" w:w="1656"/>
            <w:vAlign w:val="center"/>
          </w:tcPr>
          <w:p>
            <w:pPr>
              <w:spacing w:after="0" w:before="0" w:line="245" w:lineRule="auto"/>
              <w:jc w:val="center"/>
            </w:pPr>
            <w:r>
              <w:rPr>
                <w:rFonts w:ascii="Times New Roman" w:hAnsi="Times New Roman" w:eastAsia="SimSun"/>
                <w:b w:val="0"/>
                <w:i w:val="0"/>
                <w:color w:val="000000"/>
                <w:sz w:val="18"/>
              </w:rPr>
              <w:t>0.75 − 0.25</w:t>
            </w:r>
          </w:p>
        </w:tc>
        <w:tc>
          <w:tcPr>
            <w:tcW w:type="dxa" w:w="1440"/>
            <w:vAlign w:val="center"/>
          </w:tcPr>
          <w:p>
            <w:pPr>
              <w:spacing w:after="0" w:before="0" w:line="245" w:lineRule="auto"/>
              <w:jc w:val="center"/>
            </w:pPr>
            <w:r>
              <w:rPr>
                <w:rFonts w:ascii="Times New Roman" w:hAnsi="Times New Roman" w:eastAsia="SimSun"/>
                <w:b w:val="0"/>
                <w:i w:val="0"/>
                <w:color w:val="000000"/>
                <w:sz w:val="18"/>
              </w:rPr>
              <w:t>-1.348</w:t>
            </w:r>
          </w:p>
        </w:tc>
        <w:tc>
          <w:tcPr>
            <w:tcW w:type="dxa" w:w="3024"/>
            <w:vAlign w:val="center"/>
          </w:tcPr>
          <w:p>
            <w:pPr>
              <w:spacing w:after="0" w:before="0" w:line="245" w:lineRule="auto"/>
              <w:jc w:val="center"/>
            </w:pPr>
            <w:r>
              <w:rPr>
                <w:rFonts w:ascii="Times New Roman" w:hAnsi="Times New Roman" w:eastAsia="SimSun"/>
                <w:b w:val="0"/>
                <w:i w:val="0"/>
                <w:color w:val="000000"/>
                <w:sz w:val="18"/>
              </w:rPr>
              <w:t>[-1.831, -0.865]</w:t>
            </w:r>
          </w:p>
        </w:tc>
        <w:tc>
          <w:tcPr>
            <w:tcW w:type="dxa" w:w="1296"/>
            <w:vAlign w:val="center"/>
          </w:tcPr>
          <w:p>
            <w:pPr>
              <w:spacing w:after="0" w:before="0" w:line="245" w:lineRule="auto"/>
              <w:jc w:val="center"/>
            </w:pPr>
            <w:r>
              <w:rPr>
                <w:rFonts w:ascii="Times New Roman" w:hAnsi="Times New Roman" w:eastAsia="SimSun"/>
                <w:b w:val="0"/>
                <w:i w:val="0"/>
                <w:color w:val="000000"/>
                <w:sz w:val="18"/>
              </w:rPr>
              <w:t>&lt;.001</w:t>
            </w:r>
          </w:p>
        </w:tc>
        <w:tc>
          <w:tcPr>
            <w:tcW w:type="dxa" w:w="1440"/>
            <w:vAlign w:val="center"/>
          </w:tcPr>
          <w:p>
            <w:pPr>
              <w:spacing w:after="0" w:before="0" w:line="245" w:lineRule="auto"/>
              <w:jc w:val="center"/>
            </w:pPr>
            <w:r>
              <w:rPr>
                <w:rFonts w:ascii="Times New Roman" w:hAnsi="Times New Roman" w:eastAsia="SimSun"/>
                <w:b w:val="0"/>
                <w:i w:val="0"/>
                <w:color w:val="000000"/>
                <w:sz w:val="18"/>
              </w:rPr>
              <w:t>&lt;.001</w:t>
            </w:r>
          </w:p>
        </w:tc>
      </w:tr>
      <w:tr>
        <w:trPr>
          <w:cantSplit/>
        </w:trPr>
        <w:tc>
          <w:tcPr>
            <w:tcW w:type="dxa" w:w="864"/>
            <w:vAlign w:val="center"/>
          </w:tcPr>
          <w:p>
            <w:pPr>
              <w:spacing w:after="0" w:before="0" w:line="245" w:lineRule="auto"/>
              <w:jc w:val="left"/>
            </w:pPr>
            <w:r>
              <w:rPr>
                <w:rFonts w:ascii="Times New Roman" w:hAnsi="Times New Roman" w:eastAsia="SimSun"/>
                <w:b w:val="0"/>
                <w:i w:val="0"/>
                <w:color w:val="000000"/>
                <w:sz w:val="18"/>
              </w:rPr>
              <w:t>GC</w:t>
            </w:r>
          </w:p>
        </w:tc>
        <w:tc>
          <w:tcPr>
            <w:tcW w:type="dxa" w:w="1656"/>
            <w:vAlign w:val="center"/>
          </w:tcPr>
          <w:p>
            <w:pPr>
              <w:spacing w:after="0" w:before="0" w:line="245" w:lineRule="auto"/>
              <w:jc w:val="center"/>
            </w:pPr>
            <w:r>
              <w:rPr>
                <w:rFonts w:ascii="Times New Roman" w:hAnsi="Times New Roman" w:eastAsia="SimSun"/>
                <w:b w:val="0"/>
                <w:i w:val="0"/>
                <w:color w:val="000000"/>
                <w:sz w:val="18"/>
              </w:rPr>
              <w:t>0.75 − 0.5</w:t>
            </w:r>
          </w:p>
        </w:tc>
        <w:tc>
          <w:tcPr>
            <w:tcW w:type="dxa" w:w="1440"/>
            <w:vAlign w:val="center"/>
          </w:tcPr>
          <w:p>
            <w:pPr>
              <w:spacing w:after="0" w:before="0" w:line="245" w:lineRule="auto"/>
              <w:jc w:val="center"/>
            </w:pPr>
            <w:r>
              <w:rPr>
                <w:rFonts w:ascii="Times New Roman" w:hAnsi="Times New Roman" w:eastAsia="SimSun"/>
                <w:b w:val="0"/>
                <w:i w:val="0"/>
                <w:color w:val="000000"/>
                <w:sz w:val="18"/>
              </w:rPr>
              <w:t>-0.379</w:t>
            </w:r>
          </w:p>
        </w:tc>
        <w:tc>
          <w:tcPr>
            <w:tcW w:type="dxa" w:w="3024"/>
            <w:vAlign w:val="center"/>
          </w:tcPr>
          <w:p>
            <w:pPr>
              <w:spacing w:after="0" w:before="0" w:line="245" w:lineRule="auto"/>
              <w:jc w:val="center"/>
            </w:pPr>
            <w:r>
              <w:rPr>
                <w:rFonts w:ascii="Times New Roman" w:hAnsi="Times New Roman" w:eastAsia="SimSun"/>
                <w:b w:val="0"/>
                <w:i w:val="0"/>
                <w:color w:val="000000"/>
                <w:sz w:val="18"/>
              </w:rPr>
              <w:t>[-0.743, -0.015]</w:t>
            </w:r>
          </w:p>
        </w:tc>
        <w:tc>
          <w:tcPr>
            <w:tcW w:type="dxa" w:w="1296"/>
            <w:vAlign w:val="center"/>
          </w:tcPr>
          <w:p>
            <w:pPr>
              <w:spacing w:after="0" w:before="0" w:line="245" w:lineRule="auto"/>
              <w:jc w:val="center"/>
            </w:pPr>
            <w:r>
              <w:rPr>
                <w:rFonts w:ascii="Times New Roman" w:hAnsi="Times New Roman" w:eastAsia="SimSun"/>
                <w:b w:val="0"/>
                <w:i w:val="0"/>
                <w:color w:val="000000"/>
                <w:sz w:val="18"/>
              </w:rPr>
              <w:t>0.042</w:t>
            </w:r>
          </w:p>
        </w:tc>
        <w:tc>
          <w:tcPr>
            <w:tcW w:type="dxa" w:w="1440"/>
            <w:vAlign w:val="center"/>
          </w:tcPr>
          <w:p>
            <w:pPr>
              <w:spacing w:after="0" w:before="0" w:line="245" w:lineRule="auto"/>
              <w:jc w:val="center"/>
            </w:pPr>
            <w:r>
              <w:rPr>
                <w:rFonts w:ascii="Times New Roman" w:hAnsi="Times New Roman" w:eastAsia="SimSun"/>
                <w:b w:val="0"/>
                <w:i w:val="0"/>
                <w:color w:val="000000"/>
                <w:sz w:val="18"/>
              </w:rPr>
              <w:t>0.416</w:t>
            </w:r>
          </w:p>
        </w:tc>
      </w:tr>
      <w:tr>
        <w:trPr>
          <w:cantSplit/>
        </w:trPr>
        <w:tc>
          <w:tcPr>
            <w:tcW w:type="dxa" w:w="864"/>
            <w:vAlign w:val="center"/>
          </w:tcPr>
          <w:p>
            <w:pPr>
              <w:spacing w:after="0" w:before="0" w:line="245" w:lineRule="auto"/>
              <w:jc w:val="left"/>
            </w:pPr>
            <w:r>
              <w:rPr>
                <w:rFonts w:ascii="Times New Roman" w:hAnsi="Times New Roman" w:eastAsia="SimSun"/>
                <w:b w:val="0"/>
                <w:i w:val="0"/>
                <w:color w:val="000000"/>
                <w:sz w:val="18"/>
              </w:rPr>
              <w:t>DGC</w:t>
            </w:r>
          </w:p>
        </w:tc>
        <w:tc>
          <w:tcPr>
            <w:tcW w:type="dxa" w:w="1656"/>
            <w:vAlign w:val="center"/>
          </w:tcPr>
          <w:p>
            <w:pPr>
              <w:spacing w:after="0" w:before="0" w:line="245" w:lineRule="auto"/>
              <w:jc w:val="center"/>
            </w:pPr>
            <w:r>
              <w:rPr>
                <w:rFonts w:ascii="Times New Roman" w:hAnsi="Times New Roman" w:eastAsia="SimSun"/>
                <w:b w:val="0"/>
                <w:i w:val="0"/>
                <w:color w:val="000000"/>
                <w:sz w:val="18"/>
              </w:rPr>
              <w:t>0.2 − 0</w:t>
            </w:r>
          </w:p>
        </w:tc>
        <w:tc>
          <w:tcPr>
            <w:tcW w:type="dxa" w:w="1440"/>
            <w:vAlign w:val="center"/>
          </w:tcPr>
          <w:p>
            <w:pPr>
              <w:spacing w:after="0" w:before="0" w:line="245" w:lineRule="auto"/>
              <w:jc w:val="center"/>
            </w:pPr>
            <w:r>
              <w:rPr>
                <w:rFonts w:ascii="Times New Roman" w:hAnsi="Times New Roman" w:eastAsia="SimSun"/>
                <w:b w:val="0"/>
                <w:i w:val="0"/>
                <w:color w:val="000000"/>
                <w:sz w:val="18"/>
              </w:rPr>
              <w:t>0.033</w:t>
            </w:r>
          </w:p>
        </w:tc>
        <w:tc>
          <w:tcPr>
            <w:tcW w:type="dxa" w:w="3024"/>
            <w:vAlign w:val="center"/>
          </w:tcPr>
          <w:p>
            <w:pPr>
              <w:spacing w:after="0" w:before="0" w:line="245" w:lineRule="auto"/>
              <w:jc w:val="center"/>
            </w:pPr>
            <w:r>
              <w:rPr>
                <w:rFonts w:ascii="Times New Roman" w:hAnsi="Times New Roman" w:eastAsia="SimSun"/>
                <w:b w:val="0"/>
                <w:i w:val="0"/>
                <w:color w:val="000000"/>
                <w:sz w:val="18"/>
              </w:rPr>
              <w:t>[-0.450, 0.516]</w:t>
            </w:r>
          </w:p>
        </w:tc>
        <w:tc>
          <w:tcPr>
            <w:tcW w:type="dxa" w:w="1296"/>
            <w:vAlign w:val="center"/>
          </w:tcPr>
          <w:p>
            <w:pPr>
              <w:spacing w:after="0" w:before="0" w:line="245" w:lineRule="auto"/>
              <w:jc w:val="center"/>
            </w:pPr>
            <w:r>
              <w:rPr>
                <w:rFonts w:ascii="Times New Roman" w:hAnsi="Times New Roman" w:eastAsia="SimSun"/>
                <w:b w:val="0"/>
                <w:i w:val="0"/>
                <w:color w:val="000000"/>
                <w:sz w:val="18"/>
              </w:rPr>
              <w:t>0.892</w:t>
            </w:r>
          </w:p>
        </w:tc>
        <w:tc>
          <w:tcPr>
            <w:tcW w:type="dxa" w:w="1440"/>
            <w:vAlign w:val="center"/>
          </w:tcPr>
          <w:p>
            <w:pPr>
              <w:spacing w:after="0" w:before="0" w:line="245" w:lineRule="auto"/>
              <w:jc w:val="center"/>
            </w:pPr>
            <w:r>
              <w:rPr>
                <w:rFonts w:ascii="Times New Roman" w:hAnsi="Times New Roman" w:eastAsia="SimSun"/>
                <w:b w:val="0"/>
                <w:i w:val="0"/>
                <w:color w:val="000000"/>
                <w:sz w:val="18"/>
              </w:rPr>
              <w:t>1.000</w:t>
            </w:r>
          </w:p>
        </w:tc>
      </w:tr>
      <w:tr>
        <w:trPr>
          <w:cantSplit/>
        </w:trPr>
        <w:tc>
          <w:tcPr>
            <w:tcW w:type="dxa" w:w="864"/>
            <w:vAlign w:val="center"/>
          </w:tcPr>
          <w:p>
            <w:pPr>
              <w:spacing w:after="0" w:before="0" w:line="245" w:lineRule="auto"/>
              <w:jc w:val="left"/>
            </w:pPr>
            <w:r>
              <w:rPr>
                <w:rFonts w:ascii="Times New Roman" w:hAnsi="Times New Roman" w:eastAsia="SimSun"/>
                <w:b w:val="0"/>
                <w:i w:val="0"/>
                <w:color w:val="000000"/>
                <w:sz w:val="18"/>
              </w:rPr>
              <w:t>DGC</w:t>
            </w:r>
          </w:p>
        </w:tc>
        <w:tc>
          <w:tcPr>
            <w:tcW w:type="dxa" w:w="1656"/>
            <w:vAlign w:val="center"/>
          </w:tcPr>
          <w:p>
            <w:pPr>
              <w:spacing w:after="0" w:before="0" w:line="245" w:lineRule="auto"/>
              <w:jc w:val="center"/>
            </w:pPr>
            <w:r>
              <w:rPr>
                <w:rFonts w:ascii="Times New Roman" w:hAnsi="Times New Roman" w:eastAsia="SimSun"/>
                <w:b w:val="0"/>
                <w:i w:val="0"/>
                <w:color w:val="000000"/>
                <w:sz w:val="18"/>
              </w:rPr>
              <w:t>0.4 − 0</w:t>
            </w:r>
          </w:p>
        </w:tc>
        <w:tc>
          <w:tcPr>
            <w:tcW w:type="dxa" w:w="1440"/>
            <w:vAlign w:val="center"/>
          </w:tcPr>
          <w:p>
            <w:pPr>
              <w:spacing w:after="0" w:before="0" w:line="245" w:lineRule="auto"/>
              <w:jc w:val="center"/>
            </w:pPr>
            <w:r>
              <w:rPr>
                <w:rFonts w:ascii="Times New Roman" w:hAnsi="Times New Roman" w:eastAsia="SimSun"/>
                <w:b w:val="0"/>
                <w:i w:val="0"/>
                <w:color w:val="000000"/>
                <w:sz w:val="18"/>
              </w:rPr>
              <w:t>0.403</w:t>
            </w:r>
          </w:p>
        </w:tc>
        <w:tc>
          <w:tcPr>
            <w:tcW w:type="dxa" w:w="3024"/>
            <w:vAlign w:val="center"/>
          </w:tcPr>
          <w:p>
            <w:pPr>
              <w:spacing w:after="0" w:before="0" w:line="245" w:lineRule="auto"/>
              <w:jc w:val="center"/>
            </w:pPr>
            <w:r>
              <w:rPr>
                <w:rFonts w:ascii="Times New Roman" w:hAnsi="Times New Roman" w:eastAsia="SimSun"/>
                <w:b w:val="0"/>
                <w:i w:val="0"/>
                <w:color w:val="000000"/>
                <w:sz w:val="18"/>
              </w:rPr>
              <w:t>[-0.023, 0.829]</w:t>
            </w:r>
          </w:p>
        </w:tc>
        <w:tc>
          <w:tcPr>
            <w:tcW w:type="dxa" w:w="1296"/>
            <w:vAlign w:val="center"/>
          </w:tcPr>
          <w:p>
            <w:pPr>
              <w:spacing w:after="0" w:before="0" w:line="245" w:lineRule="auto"/>
              <w:jc w:val="center"/>
            </w:pPr>
            <w:r>
              <w:rPr>
                <w:rFonts w:ascii="Times New Roman" w:hAnsi="Times New Roman" w:eastAsia="SimSun"/>
                <w:b w:val="0"/>
                <w:i w:val="0"/>
                <w:color w:val="000000"/>
                <w:sz w:val="18"/>
              </w:rPr>
              <w:t>0.063</w:t>
            </w:r>
          </w:p>
        </w:tc>
        <w:tc>
          <w:tcPr>
            <w:tcW w:type="dxa" w:w="1440"/>
            <w:vAlign w:val="center"/>
          </w:tcPr>
          <w:p>
            <w:pPr>
              <w:spacing w:after="0" w:before="0" w:line="245" w:lineRule="auto"/>
              <w:jc w:val="center"/>
            </w:pPr>
            <w:r>
              <w:rPr>
                <w:rFonts w:ascii="Times New Roman" w:hAnsi="Times New Roman" w:eastAsia="SimSun"/>
                <w:b w:val="0"/>
                <w:i w:val="0"/>
                <w:color w:val="000000"/>
                <w:sz w:val="18"/>
              </w:rPr>
              <w:t>0.505</w:t>
            </w:r>
          </w:p>
        </w:tc>
      </w:tr>
      <w:tr>
        <w:trPr>
          <w:cantSplit/>
        </w:trPr>
        <w:tc>
          <w:tcPr>
            <w:tcW w:type="dxa" w:w="864"/>
            <w:vAlign w:val="center"/>
          </w:tcPr>
          <w:p>
            <w:pPr>
              <w:spacing w:after="0" w:before="0" w:line="245" w:lineRule="auto"/>
              <w:jc w:val="left"/>
            </w:pPr>
            <w:r>
              <w:rPr>
                <w:rFonts w:ascii="Times New Roman" w:hAnsi="Times New Roman" w:eastAsia="SimSun"/>
                <w:b w:val="0"/>
                <w:i w:val="0"/>
                <w:color w:val="000000"/>
                <w:sz w:val="18"/>
              </w:rPr>
              <w:t>DGC</w:t>
            </w:r>
          </w:p>
        </w:tc>
        <w:tc>
          <w:tcPr>
            <w:tcW w:type="dxa" w:w="1656"/>
            <w:vAlign w:val="center"/>
          </w:tcPr>
          <w:p>
            <w:pPr>
              <w:spacing w:after="0" w:before="0" w:line="245" w:lineRule="auto"/>
              <w:jc w:val="center"/>
            </w:pPr>
            <w:r>
              <w:rPr>
                <w:rFonts w:ascii="Times New Roman" w:hAnsi="Times New Roman" w:eastAsia="SimSun"/>
                <w:b w:val="0"/>
                <w:i w:val="0"/>
                <w:color w:val="000000"/>
                <w:sz w:val="18"/>
              </w:rPr>
              <w:t>0.4 − 0.2</w:t>
            </w:r>
          </w:p>
        </w:tc>
        <w:tc>
          <w:tcPr>
            <w:tcW w:type="dxa" w:w="1440"/>
            <w:vAlign w:val="center"/>
          </w:tcPr>
          <w:p>
            <w:pPr>
              <w:spacing w:after="0" w:before="0" w:line="245" w:lineRule="auto"/>
              <w:jc w:val="center"/>
            </w:pPr>
            <w:r>
              <w:rPr>
                <w:rFonts w:ascii="Times New Roman" w:hAnsi="Times New Roman" w:eastAsia="SimSun"/>
                <w:b w:val="0"/>
                <w:i w:val="0"/>
                <w:color w:val="000000"/>
                <w:sz w:val="18"/>
              </w:rPr>
              <w:t>0.370</w:t>
            </w:r>
          </w:p>
        </w:tc>
        <w:tc>
          <w:tcPr>
            <w:tcW w:type="dxa" w:w="3024"/>
            <w:vAlign w:val="center"/>
          </w:tcPr>
          <w:p>
            <w:pPr>
              <w:spacing w:after="0" w:before="0" w:line="245" w:lineRule="auto"/>
              <w:jc w:val="center"/>
            </w:pPr>
            <w:r>
              <w:rPr>
                <w:rFonts w:ascii="Times New Roman" w:hAnsi="Times New Roman" w:eastAsia="SimSun"/>
                <w:b w:val="0"/>
                <w:i w:val="0"/>
                <w:color w:val="000000"/>
                <w:sz w:val="18"/>
              </w:rPr>
              <w:t>[-0.121, 0.861]</w:t>
            </w:r>
          </w:p>
        </w:tc>
        <w:tc>
          <w:tcPr>
            <w:tcW w:type="dxa" w:w="1296"/>
            <w:vAlign w:val="center"/>
          </w:tcPr>
          <w:p>
            <w:pPr>
              <w:spacing w:after="0" w:before="0" w:line="245" w:lineRule="auto"/>
              <w:jc w:val="center"/>
            </w:pPr>
            <w:r>
              <w:rPr>
                <w:rFonts w:ascii="Times New Roman" w:hAnsi="Times New Roman" w:eastAsia="SimSun"/>
                <w:b w:val="0"/>
                <w:i w:val="0"/>
                <w:color w:val="000000"/>
                <w:sz w:val="18"/>
              </w:rPr>
              <w:t>0.136</w:t>
            </w:r>
          </w:p>
        </w:tc>
        <w:tc>
          <w:tcPr>
            <w:tcW w:type="dxa" w:w="1440"/>
            <w:vAlign w:val="center"/>
          </w:tcPr>
          <w:p>
            <w:pPr>
              <w:spacing w:after="0" w:before="0" w:line="245" w:lineRule="auto"/>
              <w:jc w:val="center"/>
            </w:pPr>
            <w:r>
              <w:rPr>
                <w:rFonts w:ascii="Times New Roman" w:hAnsi="Times New Roman" w:eastAsia="SimSun"/>
                <w:b w:val="0"/>
                <w:i w:val="0"/>
                <w:color w:val="000000"/>
                <w:sz w:val="18"/>
              </w:rPr>
              <w:t>0.951</w:t>
            </w:r>
          </w:p>
        </w:tc>
      </w:tr>
    </w:tbl>
    <w:p>
      <w:pPr>
        <w:pStyle w:val="15"/>
        <w:spacing w:before="0" w:after="100" w:line="240" w:lineRule="auto"/>
      </w:pPr>
      <w:r>
        <w:rPr>
          <w:rFonts w:ascii="Times New Roman" w:hAnsi="Times New Roman" w:eastAsia="SimSun"/>
          <w:b w:val="0"/>
          <w:i w:val="0"/>
          <w:color w:val="000000"/>
          <w:sz w:val="18"/>
        </w:rPr>
        <w:t>All ten FB contrasts are reported; adjusted p retains the previously tested 20-comparison family. Negative values indicate shorter TBU at the higher factor level. Confidence intervals are pointwise.</w:t>
      </w:r>
    </w:p>
    <w:p>
      <w:pPr>
        <w:keepNext/>
        <w:spacing w:after="0"/>
        <w:jc w:val="center"/>
      </w:pPr>
      <w:r>
        <w:drawing>
          <wp:inline xmlns:a="http://schemas.openxmlformats.org/drawingml/2006/main" xmlns:pic="http://schemas.openxmlformats.org/drawingml/2006/picture">
            <wp:extent cx="6080760" cy="1073075"/>
            <wp:docPr id="5" name="Picture 5"/>
            <wp:cNvGraphicFramePr>
              <a:graphicFrameLocks noChangeAspect="1"/>
            </wp:cNvGraphicFramePr>
            <a:graphic>
              <a:graphicData uri="http://schemas.openxmlformats.org/drawingml/2006/picture">
                <pic:pic>
                  <pic:nvPicPr>
                    <pic:cNvPr id="0" name="Figure5_FB_time_origin.png"/>
                    <pic:cNvPicPr/>
                  </pic:nvPicPr>
                  <pic:blipFill>
                    <a:blip r:embed="rId16"/>
                    <a:stretch>
                      <a:fillRect/>
                    </a:stretch>
                  </pic:blipFill>
                  <pic:spPr>
                    <a:xfrm>
                      <a:off x="0" y="0"/>
                      <a:ext cx="6080760" cy="1073075"/>
                    </a:xfrm>
                    <a:prstGeom prst="rect"/>
                  </pic:spPr>
                </pic:pic>
              </a:graphicData>
            </a:graphic>
          </wp:inline>
        </w:drawing>
      </w:r>
    </w:p>
    <w:p>
      <w:pPr>
        <w:pStyle w:val="15"/>
        <w:spacing w:before="0" w:after="100" w:line="240" w:lineRule="auto"/>
      </w:pPr>
      <w:r>
        <w:rPr>
          <w:rFonts w:ascii="Times New Roman" w:hAnsi="Times New Roman" w:eastAsia="SimSun"/>
          <w:b w:val="0"/>
          <w:i w:val="0"/>
          <w:color w:val="000000"/>
          <w:sz w:val="18"/>
        </w:rPr>
        <w:t>Figure 5  Illustrative FB measurement. First belief at 1, publication at 2 and rejection at 5 give TBU=4. The interval includes the wait for publication; this example is not a simulated participant record.</w:t>
      </w:r>
    </w:p>
    <w:p>
      <w:pPr>
        <w:pStyle w:val="4"/>
        <w:spacing w:before="160" w:after="100"/>
      </w:pPr>
      <w:r>
        <w:rPr>
          <w:rFonts w:ascii="Times New Roman" w:hAnsi="Times New Roman" w:eastAsia="SimSun"/>
          <w:b/>
          <w:i w:val="0"/>
          <w:color w:val="000000"/>
          <w:sz w:val="23"/>
        </w:rPr>
        <w:t>Total duration and response timing</w:t>
      </w:r>
    </w:p>
    <w:p>
      <w:pPr>
        <w:spacing w:before="0" w:after="100" w:line="254" w:lineRule="auto"/>
      </w:pPr>
      <w:r>
        <w:rPr>
          <w:rFonts w:ascii="Times New Roman" w:hAnsi="Times New Roman" w:eastAsia="SimSun"/>
          <w:b w:val="0"/>
          <w:i w:val="0"/>
          <w:color w:val="000000"/>
          <w:sz w:val="22"/>
        </w:rPr>
        <w:t>For users believing before publication, the eligible endpoint cannot precede RT. Delaying publication can therefore lengthen total TBU even if rejection follows quickly afterward. The RT association concerns total duration from initial belief; it does not isolate the processing speed of a correction after receipt. Publication time and each user’s first official exposure are distinct.</w:t>
      </w:r>
    </w:p>
    <w:p>
      <w:pPr>
        <w:pStyle w:val="4"/>
        <w:spacing w:before="160" w:after="100"/>
      </w:pPr>
      <w:r>
        <w:rPr>
          <w:rFonts w:ascii="Times New Roman" w:hAnsi="Times New Roman" w:eastAsia="SimSun"/>
          <w:b/>
          <w:i w:val="0"/>
          <w:color w:val="000000"/>
          <w:sz w:val="23"/>
        </w:rPr>
        <w:t>Observed updates and unresolved belief</w:t>
      </w:r>
    </w:p>
    <w:p>
      <w:pPr>
        <w:spacing w:before="0" w:after="100" w:line="254" w:lineRule="auto"/>
      </w:pPr>
      <w:r>
        <w:rPr>
          <w:rFonts w:ascii="Times New Roman" w:hAnsi="Times New Roman" w:eastAsia="SimSun"/>
          <w:b w:val="0"/>
          <w:i w:val="0"/>
          <w:color w:val="000000"/>
          <w:sz w:val="22"/>
        </w:rPr>
        <w:t>Of 980 instances that ever believed, 757 (77.2%) produced a qualifying observed update. The 222 unresolved first episodes remain censored; they are not assigned invented TBU values. One later relapse does not erase a previously observed first update. Low converter-only TBU can coexist with unresolved believers, so both the event count and follow-up limit must accompany the mean.</w:t>
      </w:r>
    </w:p>
    <w:p>
      <w:pPr>
        <w:spacing w:before="0" w:after="100" w:line="254" w:lineRule="auto"/>
      </w:pPr>
      <w:r>
        <w:rPr>
          <w:rFonts w:ascii="Times New Roman" w:hAnsi="Times New Roman" w:eastAsia="SimSun"/>
          <w:b w:val="0"/>
          <w:i w:val="0"/>
          <w:color w:val="000000"/>
          <w:sz w:val="22"/>
        </w:rPr>
        <w:t>Government credibility and more inside-directed delivery are supported strategy dimensions within this simulation. However, GC .50 versus .75 does not survive correction (p=.416), so the overall GC test does not establish every adjacent-level difference. TC represents recipient composition rather than accuracy in identifying current believers. DGC moderation remains unsupported.</w:t>
      </w:r>
    </w:p>
    <w:p>
      <w:r>
        <w:br w:type="page"/>
      </w:r>
    </w:p>
    <w:p>
      <w:pPr>
        <w:pStyle w:val="3"/>
        <w:spacing w:before="160" w:after="100"/>
      </w:pPr>
      <w:r>
        <w:rPr>
          <w:rFonts w:ascii="Times New Roman" w:hAnsi="Times New Roman" w:eastAsia="SimSun"/>
          <w:b/>
          <w:i w:val="0"/>
          <w:color w:val="000000"/>
          <w:sz w:val="26"/>
        </w:rPr>
        <w:t>8 Reproducibility limitations and conclusions</w:t>
      </w:r>
    </w:p>
    <w:p>
      <w:pPr>
        <w:pStyle w:val="4"/>
        <w:spacing w:before="160" w:after="100"/>
      </w:pPr>
      <w:r>
        <w:rPr>
          <w:rFonts w:ascii="Times New Roman" w:hAnsi="Times New Roman" w:eastAsia="SimSun"/>
          <w:b/>
          <w:i w:val="0"/>
          <w:color w:val="000000"/>
          <w:sz w:val="23"/>
        </w:rPr>
        <w:t>Reproducible implementation</w:t>
      </w:r>
    </w:p>
    <w:p>
      <w:pPr>
        <w:spacing w:before="0" w:after="100" w:line="254" w:lineRule="auto"/>
      </w:pPr>
      <w:r>
        <w:rPr>
          <w:rFonts w:ascii="Times New Roman" w:hAnsi="Times New Roman" w:eastAsia="SimSun"/>
          <w:b w:val="0"/>
          <w:i w:val="0"/>
          <w:color w:val="000000"/>
          <w:sz w:val="22"/>
        </w:rPr>
        <w:t>The implementation uses SocioVerse2 [3] and runtime v7-government-trust-persona-20261027-2 [4]. MiniMax-M3 is requested with temperature=1.0, top_p=0.95 and maximum output 1,536 tokens; no generation seed is sent. Local seeds fix the network (20261018), targets (20261019), ordering (20261020), government trust (20261022), SOURCE trust (20261023) and population selection (20261024). Frozen profiles, prompts, trust assignments, edges, target lists, responses and committed actions support audit and replay. Re-querying can change outputs.</w:t>
      </w:r>
    </w:p>
    <w:p>
      <w:pPr>
        <w:spacing w:before="0" w:after="100" w:line="254" w:lineRule="auto"/>
      </w:pPr>
      <w:r>
        <w:rPr>
          <w:rFonts w:ascii="Times New Roman" w:hAnsi="Times New Roman" w:eastAsia="SimSun"/>
          <w:b w:val="0"/>
          <w:i w:val="0"/>
          <w:color w:val="000000"/>
          <w:sz w:val="22"/>
        </w:rPr>
        <w:t>All users observe the pre-update feed before current-round actions are applied. Users with no visible material remain idle. Score ranges, visible targets, evidence IDs and short application summaries for all 11 conditions are checked. Such summaries document reported input use rather than reveal internal causal reasoning. Unresolved output or service failures preserve successful responses and pause; no synthetic substitute decision is injected. Full rounds are checkpointed, and exported counts, score histories, exposures and individual transition records permit verification.</w:t>
      </w:r>
    </w:p>
    <w:p>
      <w:pPr>
        <w:pStyle w:val="4"/>
        <w:spacing w:before="160" w:after="100"/>
      </w:pPr>
      <w:r>
        <w:rPr>
          <w:rFonts w:ascii="Times New Roman" w:hAnsi="Times New Roman" w:eastAsia="SimSun"/>
          <w:b/>
          <w:i w:val="0"/>
          <w:color w:val="000000"/>
          <w:sz w:val="23"/>
        </w:rPr>
        <w:t>Scope of inference and further validation</w:t>
      </w:r>
    </w:p>
    <w:p>
      <w:pPr>
        <w:spacing w:before="0" w:after="100" w:line="254" w:lineRule="auto"/>
      </w:pPr>
      <w:r>
        <w:rPr>
          <w:rFonts w:ascii="Times New Roman" w:hAnsi="Times New Roman" w:eastAsia="SimSun"/>
          <w:b w:val="0"/>
          <w:i w:val="0"/>
          <w:color w:val="000000"/>
          <w:sz w:val="22"/>
        </w:rPr>
        <w:t>Each parameter cell has one stochastic trajectory. The 757 user-scenario updates generate 54 scenario means, not 757 independent experimental replicates. HC3 uncertainty depends on response-surface and error assumptions and does not remove dependence from shared personas or networks. The endpoint was retained after exploratory review; keeping the original multiplicity families prevents a narrower display from artificially lowering adjusted p values.</w:t>
      </w:r>
    </w:p>
    <w:p>
      <w:pPr>
        <w:spacing w:before="0" w:after="100" w:line="254" w:lineRule="auto"/>
      </w:pPr>
      <w:r>
        <w:rPr>
          <w:rFonts w:ascii="Times New Roman" w:hAnsi="Times New Roman" w:eastAsia="SimSun"/>
          <w:b w:val="0"/>
          <w:i w:val="0"/>
          <w:color w:val="000000"/>
          <w:sz w:val="22"/>
        </w:rPr>
        <w:t>The scripted case, low simulated belief, synthetic population and absence of a no-response control limit external and causal interpretation. MBTI supplies profile diversity rather than calibrated susceptibility. DGC changes overall SOURCE trust as well as its group gap. Trust direction is embedded in prompt assumptions, so a simulation association does not independently validate that mechanism in human users. Priority checks are independent replications, a no-response arm, alternative cases and networks, longer observation, and sensitivity to trust wording, memory, comments and the threshold.</w:t>
      </w:r>
    </w:p>
    <w:p>
      <w:pPr>
        <w:pStyle w:val="4"/>
        <w:spacing w:before="160" w:after="100"/>
      </w:pPr>
      <w:r>
        <w:rPr>
          <w:rFonts w:ascii="Times New Roman" w:hAnsi="Times New Roman" w:eastAsia="SimSun"/>
          <w:b/>
          <w:i w:val="0"/>
          <w:color w:val="000000"/>
          <w:sz w:val="23"/>
        </w:rPr>
        <w:t>Conclusion</w:t>
      </w:r>
    </w:p>
    <w:p>
      <w:pPr>
        <w:spacing w:before="0" w:after="100" w:line="254" w:lineRule="auto"/>
      </w:pPr>
      <w:r>
        <w:rPr>
          <w:rFonts w:ascii="Times New Roman" w:hAnsi="Times New Roman" w:eastAsia="SimSun"/>
          <w:b w:val="0"/>
          <w:i w:val="0"/>
          <w:color w:val="000000"/>
          <w:sz w:val="22"/>
        </w:rPr>
        <w:t>Under FB TBU, later government publication is associated with longer total elapsed belief duration; greater government credibility and more inside-directed targeting are associated with shorter observed duration. The data do not establish cocooning moderation. Conclusions apply to observed converters in the specified simulation, with unresolved episodes and the fixed ten-round horizon reported explicitly.</w:t>
      </w:r>
    </w:p>
    <w:p>
      <w:pPr>
        <w:pStyle w:val="3"/>
        <w:spacing w:before="160" w:after="100"/>
      </w:pPr>
      <w:r>
        <w:rPr>
          <w:rFonts w:ascii="Times New Roman" w:hAnsi="Times New Roman" w:eastAsia="SimSun"/>
          <w:b/>
          <w:i w:val="0"/>
          <w:color w:val="000000"/>
          <w:sz w:val="26"/>
        </w:rPr>
        <w:t>References</w:t>
      </w:r>
    </w:p>
    <w:p>
      <w:pPr>
        <w:spacing w:before="0" w:after="60" w:line="240" w:lineRule="auto"/>
      </w:pPr>
      <w:r>
        <w:rPr>
          <w:rFonts w:ascii="Times New Roman" w:hAnsi="Times New Roman" w:eastAsia="SimSun"/>
          <w:b w:val="0"/>
          <w:i w:val="0"/>
          <w:color w:val="000000"/>
          <w:sz w:val="18"/>
        </w:rPr>
        <w:t>[1] Del Vicario, M., et al. (2016). The spreading of misinformation online. Proceedings of the National Academy of Sciences, 113(3), 554–559. https://doi.org/10.1073/pnas.1517441113</w:t>
      </w:r>
    </w:p>
    <w:p>
      <w:pPr>
        <w:spacing w:before="0" w:after="60" w:line="240" w:lineRule="auto"/>
      </w:pPr>
      <w:r>
        <w:rPr>
          <w:rFonts w:ascii="Times New Roman" w:hAnsi="Times New Roman" w:eastAsia="SimSun"/>
          <w:b w:val="0"/>
          <w:i w:val="0"/>
          <w:color w:val="000000"/>
          <w:sz w:val="18"/>
        </w:rPr>
        <w:t>[2] Ecker, U. K. H., et al. (2022). The psychological drivers of misinformation belief and its resistance to correction. Nature Reviews Psychology, 1, 13–29. https://doi.org/10.1038/s44159-021-00006-y</w:t>
      </w:r>
    </w:p>
    <w:p>
      <w:pPr>
        <w:spacing w:before="0" w:after="60" w:line="240" w:lineRule="auto"/>
      </w:pPr>
      <w:r>
        <w:rPr>
          <w:rFonts w:ascii="Times New Roman" w:hAnsi="Times New Roman" w:eastAsia="SimSun"/>
          <w:b w:val="0"/>
          <w:i w:val="0"/>
          <w:color w:val="000000"/>
          <w:sz w:val="18"/>
        </w:rPr>
        <w:t>[3] Zhang, X., et al. (2026). SocioVerse2: A longitudinal dynamic social simulation framework under a human-AI co-evolutionary paradigm. arXiv:2609.24911. https://doi.org/10.48550/arXiv.2609.24911</w:t>
      </w:r>
    </w:p>
    <w:p>
      <w:pPr>
        <w:spacing w:before="0" w:after="60" w:line="240" w:lineRule="auto"/>
      </w:pPr>
      <w:r>
        <w:rPr>
          <w:rFonts w:ascii="Times New Roman" w:hAnsi="Times New Roman" w:eastAsia="SimSun"/>
          <w:b w:val="0"/>
          <w:i w:val="0"/>
          <w:color w:val="000000"/>
          <w:sz w:val="18"/>
        </w:rPr>
        <w:t>[4] SocioVerse V7 project materials (2026). Model design, parameter settings and interaction mechanisms (24 October), with belief update and government trust persona revisions (27 October). Technical documentation and source code.</w:t>
      </w:r>
    </w:p>
    <w:p>
      <w:pPr>
        <w:spacing w:before="0" w:after="60" w:line="240" w:lineRule="auto"/>
      </w:pPr>
      <w:r>
        <w:rPr>
          <w:rFonts w:ascii="Times New Roman" w:hAnsi="Times New Roman" w:eastAsia="SimSun"/>
          <w:b w:val="0"/>
          <w:i w:val="0"/>
          <w:color w:val="000000"/>
          <w:sz w:val="18"/>
        </w:rPr>
        <w:t>[5] Yang, G., Xu, X., &amp; Xu, P. (2026). Government rumor correction and the time of belief updating under group cocooning. SocioVerse Challenge 2026 research proposal.</w:t>
      </w:r>
    </w:p>
    <w:sectPr>
      <w:pgSz w:w="11905" w:h="16838"/>
      <w:pgMar w:top="950" w:right="1037" w:bottom="893" w:left="1037" w:header="346" w:footer="346"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Arial">
    <w:panose1 w:val="020B0604020202020204"/>
    <w:charset w:val="00"/>
    <w:family w:val="auto"/>
    <w:pitch w:val="default"/>
    <w:sig w:usb0="E0002EFF" w:usb1="C000785B" w:usb2="00000009" w:usb3="00000000" w:csb0="400001FF" w:csb1="FFFF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ESRI AMFM Electric"/>
    <w:panose1 w:val="00000000000000000000"/>
    <w:charset w:val="00"/>
    <w:family w:val="auto"/>
    <w:pitch w:val="default"/>
    <w:sig w:usb0="00000000" w:usb1="00000000" w:usb2="00000000" w:usb3="00000000" w:csb0="00000000" w:csb1="00000000"/>
  </w:font>
  <w:font w:name="ESRI AMFM Electric">
    <w:panose1 w:val="02000400000000000000"/>
    <w:charset w:val="00"/>
    <w:family w:val="auto"/>
    <w:pitch w:val="default"/>
    <w:sig w:usb0="00000003" w:usb1="00000000" w:usb2="00000000" w:usb3="00000000" w:csb0="00000001" w:csb1="00000000"/>
  </w:font>
  <w:font w:name="Cambria Math">
    <w:panose1 w:val="02040503050406030204"/>
    <w:charset w:val="00"/>
    <w:family w:val="auto"/>
    <w:pitch w:val="default"/>
    <w:sig w:usb0="E00006FF" w:usb1="420024FF" w:usb2="02000000" w:usb3="00000000" w:csb0="2000019F"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Yu Gothic">
    <w:panose1 w:val="020B0400000000000000"/>
    <w:charset w:val="80"/>
    <w:family w:val="auto"/>
    <w:pitch w:val="default"/>
    <w:sig w:usb0="E00002FF" w:usb1="2AC7FDFF" w:usb2="00000016" w:usb3="00000000" w:csb0="2002009F" w:csb1="00000000"/>
  </w:font>
  <w:font w:name="Courier New">
    <w:panose1 w:val="02070309020205020404"/>
    <w:charset w:val="00"/>
    <w:family w:val="auto"/>
    <w:pitch w:val="default"/>
    <w:sig w:usb0="E0002EFF" w:usb1="C0007843" w:usb2="00000009" w:usb3="00000000" w:csb0="400001FF" w:csb1="FFFF0000"/>
  </w:font>
  <w:font w:name="MS Mincho">
    <w:altName w:val="ESRI AMFM Electric"/>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529507">
    <w:pPr>
      <w:pStyle w:val="24"/>
      <w:jc w:val="center"/>
    </w:pPr>
    <w:r>
      <w:fldChar w:fldCharType="begin"/>
    </w:r>
    <w:r>
      <w:instrText xml:space="preserve">PAGE</w:instrText>
    </w:r>
    <w:r>
      <w:fldChar w:fldCharType="separate"/>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4" w:lineRule="auto"/>
      </w:pPr>
      <w:r>
        <w:separator/>
      </w:r>
    </w:p>
  </w:footnote>
  <w:footnote w:type="continuationSeparator" w:id="1">
    <w:p>
      <w:pPr>
        <w:spacing w:before="0" w:after="0" w:line="254"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9C7D13"/>
    <w:rsid w:val="00AA1D8D"/>
    <w:rsid w:val="00B47730"/>
    <w:rsid w:val="00CB0664"/>
    <w:rsid w:val="00FC693F"/>
    <w:rsid w:val="0A5E4BA3"/>
    <w:rsid w:val="46C045C0"/>
    <w:rsid w:val="4C821E9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unhideWhenUsed="0" w:uiPriority="60" w:semiHidden="0" w:name="Light Shading Accent 1"/>
    <w:lsdException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unhideWhenUsed="0" w:uiPriority="60" w:semiHidden="0" w:name="Light Shading Accent 2"/>
    <w:lsdException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unhideWhenUsed="0" w:uiPriority="60" w:semiHidden="0" w:name="Light Shading Accent 3"/>
    <w:lsdException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unhideWhenUsed="0" w:uiPriority="60" w:semiHidden="0" w:name="Light Shading Accent 4"/>
    <w:lsdException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widowControl/>
      <w:spacing w:after="100" w:line="254" w:lineRule="auto"/>
    </w:pPr>
    <w:rPr>
      <w:rFonts w:ascii="Times New Roman" w:hAnsi="Times New Roman" w:eastAsiaTheme="minorEastAsia" w:cstheme="minorBidi"/>
      <w:color w:val="000000"/>
      <w:sz w:val="22"/>
      <w:szCs w:val="22"/>
      <w:lang w:val="en-US" w:eastAsia="en-US" w:bidi="ar-SA"/>
    </w:rPr>
  </w:style>
  <w:style w:type="paragraph" w:styleId="3">
    <w:name w:val="heading 1"/>
    <w:basedOn w:val="1"/>
    <w:next w:val="1"/>
    <w:link w:val="139"/>
    <w:qFormat/>
    <w:uiPriority w:val="9"/>
    <w:pPr>
      <w:keepNext/>
      <w:keepLines/>
      <w:spacing w:before="180" w:after="100"/>
      <w:outlineLvl w:val="0"/>
    </w:pPr>
    <w:rPr>
      <w:rFonts w:ascii="Arial" w:hAnsi="Arial" w:cstheme="majorBidi"/>
      <w:b/>
      <w:bCs/>
      <w:color w:val="000000"/>
      <w:sz w:val="26"/>
      <w:szCs w:val="28"/>
    </w:rPr>
  </w:style>
  <w:style w:type="paragraph" w:styleId="4">
    <w:name w:val="heading 2"/>
    <w:basedOn w:val="1"/>
    <w:next w:val="1"/>
    <w:link w:val="140"/>
    <w:unhideWhenUsed/>
    <w:qFormat/>
    <w:uiPriority w:val="9"/>
    <w:pPr>
      <w:keepNext/>
      <w:keepLines/>
      <w:spacing w:before="180" w:after="100"/>
      <w:outlineLvl w:val="1"/>
    </w:pPr>
    <w:rPr>
      <w:rFonts w:ascii="Arial" w:hAnsi="Arial" w:cstheme="majorBidi"/>
      <w:b/>
      <w:bCs/>
      <w:color w:val="000000"/>
      <w:sz w:val="23"/>
      <w:szCs w:val="26"/>
    </w:rPr>
  </w:style>
  <w:style w:type="paragraph" w:styleId="5">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3">
    <w:name w:val="Default Paragraph Font"/>
    <w:semiHidden/>
    <w:unhideWhenUsed/>
    <w:qFormat/>
    <w:uiPriority w:val="1"/>
  </w:style>
  <w:style w:type="table" w:default="1" w:styleId="33">
    <w:name w:val="Normal Table"/>
    <w:semiHidden/>
    <w:unhideWhenUsed/>
    <w:qFormat/>
    <w:uiPriority w:val="99"/>
    <w:tblPr>
      <w:tblCellMar>
        <w:top w:w="0" w:type="dxa"/>
        <w:left w:w="108" w:type="dxa"/>
        <w:bottom w:w="0" w:type="dxa"/>
        <w:right w:w="108" w:type="dxa"/>
      </w:tblCellMar>
    </w:tblPr>
  </w:style>
  <w:style w:type="paragraph" w:styleId="2">
    <w:name w:val="macro"/>
    <w:link w:val="148"/>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after="100" w:line="240" w:lineRule="auto"/>
    </w:pPr>
    <w:rPr>
      <w:rFonts w:ascii="Times New Roman" w:hAnsi="Times New Roman"/>
      <w:b/>
      <w:bCs/>
      <w:color w:val="000000"/>
      <w:sz w:val="18"/>
      <w:szCs w:val="18"/>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7"/>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5"/>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7"/>
    <w:unhideWhenUsed/>
    <w:qFormat/>
    <w:uiPriority w:val="99"/>
    <w:pPr>
      <w:tabs>
        <w:tab w:val="center" w:pos="4680"/>
        <w:tab w:val="right" w:pos="9360"/>
      </w:tabs>
      <w:spacing w:after="100" w:line="240" w:lineRule="auto"/>
    </w:pPr>
    <w:rPr>
      <w:rFonts w:ascii="Times New Roman" w:hAnsi="Times New Roman"/>
      <w:color w:val="000000"/>
      <w:sz w:val="18"/>
    </w:rPr>
  </w:style>
  <w:style w:type="paragraph" w:styleId="25">
    <w:name w:val="header"/>
    <w:basedOn w:val="1"/>
    <w:link w:val="136"/>
    <w:unhideWhenUsed/>
    <w:qFormat/>
    <w:uiPriority w:val="99"/>
    <w:pPr>
      <w:tabs>
        <w:tab w:val="center" w:pos="4680"/>
        <w:tab w:val="right" w:pos="9360"/>
      </w:tabs>
      <w:spacing w:after="0" w:line="240" w:lineRule="auto"/>
    </w:pPr>
  </w:style>
  <w:style w:type="paragraph" w:styleId="26">
    <w:name w:val="Subtitle"/>
    <w:basedOn w:val="1"/>
    <w:next w:val="1"/>
    <w:link w:val="143"/>
    <w:qFormat/>
    <w:uiPriority w:val="11"/>
    <w:pPr>
      <w:spacing w:before="0" w:after="100"/>
    </w:pPr>
    <w:rPr>
      <w:rFonts w:ascii="Times New Roman" w:hAnsi="Times New Roman" w:cstheme="majorBidi"/>
      <w:i/>
      <w:iCs/>
      <w:color w:val="000000"/>
      <w:spacing w:val="15"/>
      <w:sz w:val="22"/>
      <w:szCs w:val="24"/>
    </w:rPr>
  </w:style>
  <w:style w:type="paragraph" w:styleId="27">
    <w:name w:val="List"/>
    <w:basedOn w:val="1"/>
    <w:unhideWhenUsed/>
    <w:qFormat/>
    <w:uiPriority w:val="99"/>
    <w:pPr>
      <w:ind w:left="360" w:hanging="360"/>
      <w:contextualSpacing/>
    </w:pPr>
  </w:style>
  <w:style w:type="paragraph" w:styleId="28">
    <w:name w:val="Body Text 2"/>
    <w:basedOn w:val="1"/>
    <w:link w:val="146"/>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Normal (Web)"/>
    <w:basedOn w:val="1"/>
    <w:semiHidden/>
    <w:unhideWhenUsed/>
    <w:uiPriority w:val="99"/>
    <w:pPr>
      <w:spacing w:before="0" w:beforeAutospacing="1" w:after="0" w:afterAutospacing="1"/>
      <w:ind w:left="0" w:right="0"/>
      <w:jc w:val="left"/>
    </w:pPr>
    <w:rPr>
      <w:kern w:val="0"/>
      <w:sz w:val="24"/>
      <w:lang w:val="en-US" w:eastAsia="zh-CN" w:bidi="ar"/>
    </w:rPr>
  </w:style>
  <w:style w:type="paragraph" w:styleId="31">
    <w:name w:val="List Continue 3"/>
    <w:basedOn w:val="1"/>
    <w:unhideWhenUsed/>
    <w:qFormat/>
    <w:uiPriority w:val="99"/>
    <w:pPr>
      <w:spacing w:after="120"/>
      <w:ind w:left="1080"/>
      <w:contextualSpacing/>
    </w:pPr>
  </w:style>
  <w:style w:type="paragraph" w:styleId="32">
    <w:name w:val="Title"/>
    <w:basedOn w:val="1"/>
    <w:next w:val="1"/>
    <w:link w:val="142"/>
    <w:qFormat/>
    <w:uiPriority w:val="10"/>
    <w:pPr>
      <w:spacing w:before="0" w:after="100" w:line="240" w:lineRule="auto"/>
      <w:contextualSpacing/>
    </w:pPr>
    <w:rPr>
      <w:rFonts w:ascii="Arial" w:hAnsi="Arial" w:cstheme="majorBidi"/>
      <w:b/>
      <w:color w:val="000000"/>
      <w:spacing w:val="5"/>
      <w:kern w:val="28"/>
      <w:sz w:val="38"/>
      <w:szCs w:val="52"/>
    </w:rPr>
  </w:style>
  <w:style w:type="table" w:styleId="34">
    <w:name w:val="Table Grid"/>
    <w:basedOn w:val="33"/>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5">
    <w:name w:val="Light Shading"/>
    <w:basedOn w:val="33"/>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6">
    <w:name w:val="Light Shading Accent 1"/>
    <w:basedOn w:val="33"/>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7">
    <w:name w:val="Light Shading Accent 2"/>
    <w:basedOn w:val="33"/>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8">
    <w:name w:val="Light Shading Accent 3"/>
    <w:basedOn w:val="33"/>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9">
    <w:name w:val="Light Shading Accent 4"/>
    <w:basedOn w:val="33"/>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0">
    <w:name w:val="Light Shading Accent 5"/>
    <w:basedOn w:val="33"/>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1">
    <w:name w:val="Light Shading Accent 6"/>
    <w:basedOn w:val="33"/>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2">
    <w:name w:val="Light List"/>
    <w:basedOn w:val="33"/>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3">
    <w:name w:val="Light List Accent 1"/>
    <w:basedOn w:val="33"/>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4">
    <w:name w:val="Light List Accent 2"/>
    <w:basedOn w:val="33"/>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5">
    <w:name w:val="Light List Accent 3"/>
    <w:basedOn w:val="33"/>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6">
    <w:name w:val="Light List Accent 4"/>
    <w:basedOn w:val="33"/>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7">
    <w:name w:val="Light List Accent 5"/>
    <w:basedOn w:val="33"/>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8">
    <w:name w:val="Light List Accent 6"/>
    <w:basedOn w:val="33"/>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9">
    <w:name w:val="Light Grid"/>
    <w:basedOn w:val="33"/>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0">
    <w:name w:val="Light Grid Accent 1"/>
    <w:basedOn w:val="33"/>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1">
    <w:name w:val="Light Grid Accent 2"/>
    <w:basedOn w:val="33"/>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2">
    <w:name w:val="Light Grid Accent 3"/>
    <w:basedOn w:val="33"/>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3">
    <w:name w:val="Light Grid Accent 4"/>
    <w:basedOn w:val="33"/>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4">
    <w:name w:val="Light Grid Accent 5"/>
    <w:basedOn w:val="33"/>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5">
    <w:name w:val="Light Grid Accent 6"/>
    <w:basedOn w:val="33"/>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6">
    <w:name w:val="Medium Shading 1"/>
    <w:basedOn w:val="33"/>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7">
    <w:name w:val="Medium Shading 1 Accent 1"/>
    <w:basedOn w:val="33"/>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8">
    <w:name w:val="Medium Shading 1 Accent 2"/>
    <w:basedOn w:val="33"/>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9">
    <w:name w:val="Medium Shading 1 Accent 3"/>
    <w:basedOn w:val="33"/>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0">
    <w:name w:val="Medium Shading 1 Accent 4"/>
    <w:basedOn w:val="33"/>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1">
    <w:name w:val="Medium Shading 1 Accent 5"/>
    <w:basedOn w:val="33"/>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2">
    <w:name w:val="Medium Shading 1 Accent 6"/>
    <w:basedOn w:val="33"/>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3">
    <w:name w:val="Medium Shading 2"/>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1"/>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2"/>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3"/>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4"/>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5"/>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6"/>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List 1"/>
    <w:basedOn w:val="33"/>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1">
    <w:name w:val="Medium List 1 Accent 1"/>
    <w:basedOn w:val="33"/>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2">
    <w:name w:val="Medium List 1 Accent 2"/>
    <w:basedOn w:val="33"/>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3">
    <w:name w:val="Medium List 1 Accent 3"/>
    <w:basedOn w:val="33"/>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4">
    <w:name w:val="Medium List 1 Accent 4"/>
    <w:basedOn w:val="33"/>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5">
    <w:name w:val="Medium List 1 Accent 5"/>
    <w:basedOn w:val="33"/>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6">
    <w:name w:val="Medium List 1 Accent 6"/>
    <w:basedOn w:val="33"/>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7">
    <w:name w:val="Medium List 2"/>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1"/>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2"/>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3"/>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4"/>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5"/>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6"/>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Grid 1"/>
    <w:basedOn w:val="33"/>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5">
    <w:name w:val="Medium Grid 1 Accent 1"/>
    <w:basedOn w:val="33"/>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6">
    <w:name w:val="Medium Grid 1 Accent 2"/>
    <w:basedOn w:val="33"/>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7">
    <w:name w:val="Medium Grid 1 Accent 3"/>
    <w:basedOn w:val="33"/>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8">
    <w:name w:val="Medium Grid 1 Accent 4"/>
    <w:basedOn w:val="33"/>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9">
    <w:name w:val="Medium Grid 1 Accent 5"/>
    <w:basedOn w:val="33"/>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0">
    <w:name w:val="Medium Grid 1 Accent 6"/>
    <w:basedOn w:val="33"/>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2">
    <w:name w:val="Medium Grid 2 Accent 1"/>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3">
    <w:name w:val="Medium Grid 2 Accent 2"/>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8">
    <w:name w:val="Medium Grid 3"/>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9">
    <w:name w:val="Medium Grid 3 Accent 1"/>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0">
    <w:name w:val="Medium Grid 3 Accent 2"/>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1">
    <w:name w:val="Medium Grid 3 Accent 3"/>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2">
    <w:name w:val="Medium Grid 3 Accent 4"/>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3">
    <w:name w:val="Medium Grid 3 Accent 5"/>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4">
    <w:name w:val="Medium Grid 3 Accent 6"/>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5">
    <w:name w:val="Dark List"/>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6">
    <w:name w:val="Dark List Accent 1"/>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7">
    <w:name w:val="Dark List Accent 2"/>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8">
    <w:name w:val="Dark List Accent 3"/>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9">
    <w:name w:val="Dark List Accent 4"/>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0">
    <w:name w:val="Dark List Accent 5"/>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1">
    <w:name w:val="Dark List Accent 6"/>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2">
    <w:name w:val="Colorful Shading"/>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1"/>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2"/>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3"/>
    <w:basedOn w:val="33"/>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6">
    <w:name w:val="Colorful Shading Accent 4"/>
    <w:basedOn w:val="33"/>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5"/>
    <w:basedOn w:val="33"/>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6"/>
    <w:basedOn w:val="33"/>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List"/>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0">
    <w:name w:val="Colorful List Accent 1"/>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1">
    <w:name w:val="Colorful List Accent 2"/>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2">
    <w:name w:val="Colorful List Accent 3"/>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3">
    <w:name w:val="Colorful List Accent 4"/>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4">
    <w:name w:val="Colorful List Accent 5"/>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5">
    <w:name w:val="Colorful List Accent 6"/>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6">
    <w:name w:val="Colorful Grid"/>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7">
    <w:name w:val="Colorful Grid Accent 1"/>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8">
    <w:name w:val="Colorful Grid Accent 2"/>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9">
    <w:name w:val="Colorful Grid Accent 3"/>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0">
    <w:name w:val="Colorful Grid Accent 4"/>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1">
    <w:name w:val="Colorful Grid Accent 5"/>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2">
    <w:name w:val="Colorful Grid Accent 6"/>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4">
    <w:name w:val="Strong"/>
    <w:basedOn w:val="133"/>
    <w:qFormat/>
    <w:uiPriority w:val="22"/>
    <w:rPr>
      <w:b/>
      <w:bCs/>
    </w:rPr>
  </w:style>
  <w:style w:type="character" w:styleId="135">
    <w:name w:val="Emphasis"/>
    <w:basedOn w:val="133"/>
    <w:qFormat/>
    <w:uiPriority w:val="20"/>
    <w:rPr>
      <w:i/>
      <w:iCs/>
    </w:rPr>
  </w:style>
  <w:style w:type="character" w:customStyle="1" w:styleId="136">
    <w:name w:val="Header Char"/>
    <w:basedOn w:val="133"/>
    <w:link w:val="25"/>
    <w:qFormat/>
    <w:uiPriority w:val="99"/>
  </w:style>
  <w:style w:type="character" w:customStyle="1" w:styleId="137">
    <w:name w:val="Footer Char"/>
    <w:basedOn w:val="133"/>
    <w:link w:val="24"/>
    <w:qFormat/>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33"/>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33"/>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33"/>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33"/>
    <w:link w:val="32"/>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33"/>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33"/>
    <w:link w:val="19"/>
    <w:qFormat/>
    <w:uiPriority w:val="99"/>
  </w:style>
  <w:style w:type="character" w:customStyle="1" w:styleId="146">
    <w:name w:val="Body Text 2 Char"/>
    <w:basedOn w:val="133"/>
    <w:link w:val="28"/>
    <w:qFormat/>
    <w:uiPriority w:val="99"/>
  </w:style>
  <w:style w:type="character" w:customStyle="1" w:styleId="147">
    <w:name w:val="Body Text 3 Char"/>
    <w:basedOn w:val="133"/>
    <w:link w:val="17"/>
    <w:qFormat/>
    <w:uiPriority w:val="99"/>
    <w:rPr>
      <w:sz w:val="16"/>
      <w:szCs w:val="16"/>
    </w:rPr>
  </w:style>
  <w:style w:type="character" w:customStyle="1" w:styleId="148">
    <w:name w:val="Macro Text Char"/>
    <w:basedOn w:val="133"/>
    <w:link w:val="2"/>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33"/>
    <w:link w:val="149"/>
    <w:qFormat/>
    <w:uiPriority w:val="29"/>
    <w:rPr>
      <w:i/>
      <w:iCs/>
      <w:color w:val="000000" w:themeColor="text1"/>
      <w14:textFill>
        <w14:solidFill>
          <w14:schemeClr w14:val="tx1"/>
        </w14:solidFill>
      </w14:textFill>
    </w:rPr>
  </w:style>
  <w:style w:type="character" w:customStyle="1" w:styleId="151">
    <w:name w:val="Heading 4 Char"/>
    <w:basedOn w:val="133"/>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33"/>
    <w:link w:val="7"/>
    <w:semiHidden/>
    <w:uiPriority w:val="9"/>
    <w:rPr>
      <w:rFonts w:asciiTheme="majorHAnsi" w:hAnsiTheme="majorHAnsi" w:eastAsiaTheme="majorEastAsia" w:cstheme="majorBidi"/>
      <w:color w:val="254061" w:themeColor="accent1" w:themeShade="80"/>
    </w:rPr>
  </w:style>
  <w:style w:type="character" w:customStyle="1" w:styleId="153">
    <w:name w:val="Heading 6 Char"/>
    <w:basedOn w:val="133"/>
    <w:link w:val="8"/>
    <w:semiHidden/>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33"/>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33"/>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33"/>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33"/>
    <w:link w:val="157"/>
    <w:uiPriority w:val="30"/>
    <w:rPr>
      <w:b/>
      <w:bCs/>
      <w:i/>
      <w:iCs/>
      <w:color w:val="4F81BD" w:themeColor="accent1"/>
      <w14:textFill>
        <w14:solidFill>
          <w14:schemeClr w14:val="accent1"/>
        </w14:solidFill>
      </w14:textFill>
    </w:rPr>
  </w:style>
  <w:style w:type="character" w:customStyle="1" w:styleId="159">
    <w:name w:val="Subtle Emphasis"/>
    <w:basedOn w:val="133"/>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33"/>
    <w:qFormat/>
    <w:uiPriority w:val="21"/>
    <w:rPr>
      <w:b/>
      <w:bCs/>
      <w:i/>
      <w:iCs/>
      <w:color w:val="4F81BD" w:themeColor="accent1"/>
      <w14:textFill>
        <w14:solidFill>
          <w14:schemeClr w14:val="accent1"/>
        </w14:solidFill>
      </w14:textFill>
    </w:rPr>
  </w:style>
  <w:style w:type="character" w:customStyle="1" w:styleId="161">
    <w:name w:val="Subtle Reference"/>
    <w:basedOn w:val="133"/>
    <w:qFormat/>
    <w:uiPriority w:val="31"/>
    <w:rPr>
      <w:smallCaps/>
      <w:color w:val="C0504D" w:themeColor="accent2"/>
      <w:u w:val="single"/>
      <w14:textFill>
        <w14:solidFill>
          <w14:schemeClr w14:val="accent2"/>
        </w14:solidFill>
      </w14:textFill>
    </w:rPr>
  </w:style>
  <w:style w:type="character" w:customStyle="1" w:styleId="162">
    <w:name w:val="Intense Reference"/>
    <w:basedOn w:val="133"/>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33"/>
    <w:qFormat/>
    <w:uiPriority w:val="33"/>
    <w:rPr>
      <w:b/>
      <w:bCs/>
      <w:smallCaps/>
      <w:spacing w:val="5"/>
    </w:rPr>
  </w:style>
  <w:style w:type="paragraph" w:customStyle="1" w:styleId="164">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8</Pages>
  <Words>386</Words>
  <Characters>2382</Characters>
  <Lines>0</Lines>
  <Paragraphs>0</Paragraphs>
  <TotalTime>484</TotalTime>
  <ScaleCrop>false</ScaleCrop>
  <LinksUpToDate>false</LinksUpToDate>
  <CharactersWithSpaces>2760</CharactersWithSpaces>
  <Application>WPS Office_12.1.0.29161_F1E327BC-269C-435d-A152-05C5408002CA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Guang Yang; Xiangyu Xu; Pengyuan Xu</dc:creator>
  <dc:description>generated by python-docx</dc:description>
  <cp:keywords>government rumor correction; belief updating; source trust; group cocooning; LLM agents; SocioVerse</cp:keywords>
  <cp:lastModifiedBy>leeswimmer</cp:lastModifiedBy>
  <dcterms:modified xsi:type="dcterms:W3CDTF">2026-10-30T04:44:18Z</dcterms:modified>
  <dc:subject>Research design and model specification for SocioVerse V7</dc:subject>
  <dc:title>Government Rumor Correction and Belief Updating under Group Cocooning</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eyJoZGlkIjoiZWRhNzk1NDVlZmQ0MDJmYzM0Y2IxMjM2MGRlNGVmYjIiLCJ1c2VySWQiOiIyNjA1Nzg1NiJ9</vt:lpwstr>
  </property>
  <property fmtid="{D5CDD505-2E9C-101B-9397-08002B2CF9AE}" pid="3" name="KSOProductBuildVer">
    <vt:lpwstr>2052-12.1.0.29161</vt:lpwstr>
  </property>
  <property fmtid="{D5CDD505-2E9C-101B-9397-08002B2CF9AE}" pid="4" name="ICV">
    <vt:lpwstr>E468310CAF204BF1B2259C907A0C2A43_13</vt:lpwstr>
  </property>
</Properties>
</file>