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8.png" ContentType="image/png"/>
  <Override PartName="/word/media/rId34.png" ContentType="image/png"/>
  <Override PartName="/word/media/rId45.png" ContentType="image/png"/>
  <Override PartName="/word/media/rId51.png" ContentType="image/png"/>
  <Override PartName="/word/media/rId42.png" ContentType="image/png"/>
  <Override PartName="/word/media/rId48.png" ContentType="image/png"/>
  <Override PartName="/word/media/rId21.png" ContentType="image/png"/>
  <Override PartName="/word/media/rId24.png" ContentType="image/png"/>
  <Override PartName="/word/media/rId14.png" ContentType="image/png"/>
  <Override PartName="/word/media/rId17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Trinitarian Theory: A Fractal-Fibonacci Framework Unifying Galactic Dynamics and Cosmology</w:t>
      </w:r>
    </w:p>
    <w:p>
      <w:pPr>
        <w:pStyle w:val="Author"/>
      </w:pPr>
      <w:r>
        <w:t xml:space="preserve">Nil Silva</w:t>
      </w:r>
    </w:p>
    <w:p>
      <w:pPr>
        <w:pStyle w:val="Date"/>
      </w:pPr>
      <w:r>
        <w:t xml:space="preserve">November 2024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present the Trinitarian Theory, a novel framework that unifies galactic rotation curves and cosmological observations through fractal-Fibonacci geometry. The theory is built on four fundamental constants: N=4 (tetracyclic structure), L=5 (Fibonacci hierarchy), Q=4.0 (quantum confinement), and φ=1.618 (golden ratio).</w:t>
      </w:r>
    </w:p>
    <w:p>
      <w:pPr>
        <w:pStyle w:val="Abstract"/>
      </w:pPr>
      <w:r>
        <w:rPr>
          <w:b/>
          <w:bCs/>
        </w:rPr>
        <w:t xml:space="preserve">Galactic scale:</w:t>
      </w:r>
      <w:r>
        <w:t xml:space="preserve"> </w:t>
      </w:r>
      <w:r>
        <w:t xml:space="preserve">We successfully fit 125 rotation curves from the SPARC database using only 5 global parameters, achieving RMS = 59.7 km/s with systematic improvement over Newtonian predictions. The model eliminates the need for dark matter halos at galactic scales.</w:t>
      </w:r>
    </w:p>
    <w:p>
      <w:pPr>
        <w:pStyle w:val="Abstract"/>
      </w:pPr>
      <w:r>
        <w:rPr>
          <w:b/>
          <w:bCs/>
        </w:rPr>
        <w:t xml:space="preserve">Cosmological scale:</w:t>
      </w:r>
      <w:r>
        <w:t xml:space="preserve"> </w:t>
      </w:r>
      <w:r>
        <w:t xml:space="preserve">We extend the model to cosmology using a CPL dark energy parametrization. Fitting to H(z), SNe Ia, fσ₈(z), BAO, and CMB data yields χ² = 866.53, representing Δχ² = -21.0 improvement over standard ΛCDM, with strong statistical preference (ΔAIC = -17.0, ΔBIC = -6.1). The model achieves H₀ = 71.92 ± 0.03 km/s/Mpc, alleviating tension with local measurements.</w:t>
      </w:r>
    </w:p>
    <w:bookmarkStart w:id="11" w:name="introduction"/>
    <w:p>
      <w:pPr>
        <w:pStyle w:val="Heading1"/>
      </w:pPr>
      <w:r>
        <w:t xml:space="preserve">1. Introduction</w:t>
      </w:r>
    </w:p>
    <w:bookmarkStart w:id="9" w:name="cosmological-tensions"/>
    <w:p>
      <w:pPr>
        <w:pStyle w:val="Heading2"/>
      </w:pPr>
      <w:r>
        <w:t xml:space="preserve">1.1 Cosmological Tensions</w:t>
      </w:r>
    </w:p>
    <w:p>
      <w:pPr>
        <w:pStyle w:val="FirstParagraph"/>
      </w:pPr>
      <w:r>
        <w:t xml:space="preserve">Modern cosmology faces two significant tensions. First, the Hubble constant H₀ measured locally via the cosmic distance ladder (73.0 ± 1.0 km/s/Mpc; Riess et al. 2022) differs by ~5σ from the CMB-inferred value assuming ΛCDM (67.4 ± 0.5 km/s/Mpc; Planck Collaboration 2020). Second, the amplitude of matter fluctuations σ₈ from weak lensing surveys is systematically lower than CMB predictions, with tension reaching 3-5σ.</w:t>
      </w:r>
    </w:p>
    <w:bookmarkEnd w:id="9"/>
    <w:bookmarkStart w:id="10" w:name="the-trinitarian-framework"/>
    <w:p>
      <w:pPr>
        <w:pStyle w:val="Heading2"/>
      </w:pPr>
      <w:r>
        <w:t xml:space="preserve">1.2 The Trinitarian Framework</w:t>
      </w:r>
    </w:p>
    <w:p>
      <w:pPr>
        <w:pStyle w:val="FirstParagraph"/>
      </w:pPr>
      <w:r>
        <w:t xml:space="preserve">We propose that both galactic dynamics and cosmological evolution emerge from fractal-Fibonacci geometry with four fundamental constants: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 = 4</w:t>
      </w:r>
      <w:r>
        <w:t xml:space="preserve">: Tetracyclic structure (4-fold symmetry)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 = 5</w:t>
      </w:r>
      <w:r>
        <w:t xml:space="preserve">: Fibonacci hierarchy (5 discrete levels)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 = 4.0</w:t>
      </w:r>
      <w:r>
        <w:t xml:space="preserve">: Quantum confinement parameter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φ = 1.618</w:t>
      </w:r>
      <w:r>
        <w:t xml:space="preserve">: Golden ratio</w:t>
      </w:r>
    </w:p>
    <w:bookmarkEnd w:id="10"/>
    <w:bookmarkEnd w:id="11"/>
    <w:bookmarkStart w:id="55" w:name="results"/>
    <w:p>
      <w:pPr>
        <w:pStyle w:val="Heading1"/>
      </w:pPr>
      <w:r>
        <w:t xml:space="preserve">2. Results</w:t>
      </w:r>
    </w:p>
    <w:bookmarkStart w:id="12" w:name="key-parameters"/>
    <w:p>
      <w:pPr>
        <w:pStyle w:val="Heading2"/>
      </w:pPr>
      <w:r>
        <w:t xml:space="preserve">2.1 Key Parameters</w:t>
      </w:r>
    </w:p>
    <w:p>
      <w:pPr>
        <w:pStyle w:val="TableCaption"/>
      </w:pPr>
      <w:r>
        <w:t xml:space="preserve">Cosmological parameters from Trinitarian CPL fit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smological parameters from Trinitarian CPL fit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Best-Fit Value</w:t>
            </w:r>
          </w:p>
        </w:tc>
        <w:tc>
          <w:tcPr/>
          <w:p>
            <w:pPr>
              <w:pStyle w:val="Compact"/>
            </w:pPr>
            <w:r>
              <w:t xml:space="preserve">ΛCDM (Planck)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Ωₘ</w:t>
            </w:r>
          </w:p>
        </w:tc>
        <w:tc>
          <w:tcPr/>
          <w:p>
            <w:pPr>
              <w:pStyle w:val="Compact"/>
            </w:pPr>
            <w:r>
              <w:t xml:space="preserve">0.278 ± 0.015</w:t>
            </w:r>
          </w:p>
        </w:tc>
        <w:tc>
          <w:tcPr/>
          <w:p>
            <w:pPr>
              <w:pStyle w:val="Compact"/>
            </w:pPr>
            <w:r>
              <w:t xml:space="preserve">0.315 ± 0.007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H₀ (km/s/Mpc)</w:t>
            </w:r>
          </w:p>
        </w:tc>
        <w:tc>
          <w:tcPr/>
          <w:p>
            <w:pPr>
              <w:pStyle w:val="Compact"/>
            </w:pPr>
            <w:r>
              <w:t xml:space="preserve">71.92 ± 0.03</w:t>
            </w:r>
          </w:p>
        </w:tc>
        <w:tc>
          <w:tcPr/>
          <w:p>
            <w:pPr>
              <w:pStyle w:val="Compact"/>
            </w:pPr>
            <w:r>
              <w:t xml:space="preserve">67.4 ± 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w₀</w:t>
            </w:r>
          </w:p>
        </w:tc>
        <w:tc>
          <w:tcPr/>
          <w:p>
            <w:pPr>
              <w:pStyle w:val="Compact"/>
            </w:pPr>
            <w:r>
              <w:t xml:space="preserve">-0.590 ± 0.120</w:t>
            </w:r>
          </w:p>
        </w:tc>
        <w:tc>
          <w:tcPr/>
          <w:p>
            <w:pPr>
              <w:pStyle w:val="Compact"/>
            </w:pPr>
            <w:r>
              <w:t xml:space="preserve">-1 (fixed)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wₐ</w:t>
            </w:r>
          </w:p>
        </w:tc>
        <w:tc>
          <w:tcPr/>
          <w:p>
            <w:pPr>
              <w:pStyle w:val="Compact"/>
            </w:pPr>
            <w:r>
              <w:t xml:space="preserve">-2.097 ± 0.312</w:t>
            </w:r>
          </w:p>
        </w:tc>
        <w:tc>
          <w:tcPr/>
          <w:p>
            <w:pPr>
              <w:pStyle w:val="Compact"/>
            </w:pPr>
            <w:r>
              <w:t xml:space="preserve">0 (fixed)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σ₈</w:t>
            </w:r>
          </w:p>
        </w:tc>
        <w:tc>
          <w:tcPr/>
          <w:p>
            <w:pPr>
              <w:pStyle w:val="Compact"/>
            </w:pPr>
            <w:r>
              <w:t xml:space="preserve">0.957 ± 0.039</w:t>
            </w:r>
          </w:p>
        </w:tc>
        <w:tc>
          <w:tcPr/>
          <w:p>
            <w:pPr>
              <w:pStyle w:val="Compact"/>
            </w:pPr>
            <w:r>
              <w:t xml:space="preserve">0.811 ± 0.006</w:t>
            </w:r>
          </w:p>
        </w:tc>
      </w:tr>
    </w:tbl>
    <w:bookmarkEnd w:id="12"/>
    <w:bookmarkStart w:id="13" w:name="statistical-evidence"/>
    <w:p>
      <w:pPr>
        <w:pStyle w:val="Heading2"/>
      </w:pPr>
      <w:r>
        <w:t xml:space="preserve">2.2 Statistical Evidence</w:t>
      </w:r>
    </w:p>
    <w:p>
      <w:pPr>
        <w:pStyle w:val="TableCaption"/>
      </w:pPr>
      <w:r>
        <w:t xml:space="preserve">Model comparison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el comparison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χ²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Δχ²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ΛCDM</w:t>
            </w:r>
          </w:p>
        </w:tc>
        <w:tc>
          <w:tcPr/>
          <w:p>
            <w:pPr>
              <w:pStyle w:val="Compact"/>
            </w:pPr>
            <w:r>
              <w:t xml:space="preserve">887.55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907.5</w:t>
            </w:r>
          </w:p>
        </w:tc>
        <w:tc>
          <w:tcPr/>
          <w:p>
            <w:pPr>
              <w:pStyle w:val="Compact"/>
            </w:pPr>
            <w:r>
              <w:t xml:space="preserve">934.7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Trinitarian CPL</w:t>
            </w:r>
          </w:p>
        </w:tc>
        <w:tc>
          <w:tcPr/>
          <w:p>
            <w:pPr>
              <w:pStyle w:val="Compact"/>
            </w:pPr>
            <w:r>
              <w:t xml:space="preserve">866.53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890.5</w:t>
            </w:r>
          </w:p>
        </w:tc>
        <w:tc>
          <w:tcPr/>
          <w:p>
            <w:pPr>
              <w:pStyle w:val="Compact"/>
            </w:pPr>
            <w:r>
              <w:t xml:space="preserve">928.6</w:t>
            </w:r>
          </w:p>
        </w:tc>
        <w:tc>
          <w:tcPr/>
          <w:p>
            <w:pPr>
              <w:pStyle w:val="Compact"/>
            </w:pPr>
            <w:r>
              <w:t xml:space="preserve">-21.0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ΔAIC = -17.0</w:t>
      </w:r>
      <w:r>
        <w:t xml:space="preserve">: Strong evidence (Δ &gt; 10)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ΔBIC = -6.1</w:t>
      </w:r>
      <w:r>
        <w:t xml:space="preserve">: Positive evidence (Δ &gt; 2)</w:t>
      </w:r>
    </w:p>
    <w:bookmarkEnd w:id="13"/>
    <w:bookmarkStart w:id="20" w:name="expansion-rate-hz"/>
    <w:p>
      <w:pPr>
        <w:pStyle w:val="Heading2"/>
      </w:pPr>
      <w:r>
        <w:t xml:space="preserve">2.3 Expansion Rate H(z)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Figure 1: H(z) comparison between observational data and model predictions. Trinitarian CPL (blue) achieves χ²_Hz=18.48 with 52% improvement over ΛCDM (red)." title="" id="15" name="Picture"/>
            <a:graphic>
              <a:graphicData uri="http://schemas.openxmlformats.org/drawingml/2006/picture">
                <pic:pic>
                  <pic:nvPicPr>
                    <pic:cNvPr descr="figures/comparacao_Hz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H(z) comparison between observational data and model predictions. Trinitarian CPL (blue) achieves χ²_Hz=18.48 with 52% improvement over ΛCDM (red).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Figure 2: Relative deviations in H(z). CPL shows |Δ|&lt;3% for z&lt;2.3 with better high-z tracking than ΛCDM." title="" id="18" name="Picture"/>
            <a:graphic>
              <a:graphicData uri="http://schemas.openxmlformats.org/drawingml/2006/picture">
                <pic:pic>
                  <pic:nvPicPr>
                    <pic:cNvPr descr="figures/comparacao_Hz_relativo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Relative deviations in H(z). CPL shows |Δ|&lt;3% for z&lt;2.3 with better high-z tracking than ΛCDM.</w:t>
      </w:r>
    </w:p>
    <w:bookmarkEnd w:id="20"/>
    <w:bookmarkStart w:id="27" w:name="luminosity-distance-from-sne-ia"/>
    <w:p>
      <w:pPr>
        <w:pStyle w:val="Heading2"/>
      </w:pPr>
      <w:r>
        <w:t xml:space="preserve">2.4 Luminosity Distance from SNe Ia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Figure 3: Luminosity distance for 1701 Pantheon+ supernovae. CPL achieves χ²_SN=686.28 (1697 DOF) with Δχ²=-26 improvement." title="" id="22" name="Picture"/>
            <a:graphic>
              <a:graphicData uri="http://schemas.openxmlformats.org/drawingml/2006/picture">
                <pic:pic>
                  <pic:nvPicPr>
                    <pic:cNvPr descr="figures/comparacao_D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Luminosity distance for 1701 Pantheon+ supernovae. CPL achieves χ²_SN=686.28 (1697 DOF) with Δχ²=-26 improvement.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Figure 4: SNe residuals. CPL residuals centered at zero with |Δ|&lt;0.5%." title="" id="25" name="Picture"/>
            <a:graphic>
              <a:graphicData uri="http://schemas.openxmlformats.org/drawingml/2006/picture">
                <pic:pic>
                  <pic:nvPicPr>
                    <pic:cNvPr descr="figures/comparacao_DL_relativo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SNe residuals. CPL residuals centered at zero with |Δ|&lt;0.5%.</w:t>
      </w:r>
    </w:p>
    <w:bookmarkEnd w:id="27"/>
    <w:bookmarkStart w:id="37" w:name="parameter-space-exploration"/>
    <w:p>
      <w:pPr>
        <w:pStyle w:val="Heading2"/>
      </w:pPr>
      <w:r>
        <w:t xml:space="preserve">2.5 Parameter Space Exploration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Figure 5: χ² and χ²_red evolution across (N,L,Q) space. Optimal: (4,5,4.0) with χ²=866.53, χ²_red=0.750." title="" id="29" name="Picture"/>
            <a:graphic>
              <a:graphicData uri="http://schemas.openxmlformats.org/drawingml/2006/picture">
                <pic:pic>
                  <pic:nvPicPr>
                    <pic:cNvPr descr="figures/NLQ_chi2_chi2r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χ² and χ²_red evolution across (N,L,Q) space. Optimal: (4,5,4.0) with χ²=866.53, χ²_red=0.750.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Figure 6: AIC and BIC information criteria. ΔAIC=-17.0 (strong evidence), ΔBIC=-6.1 (positive evidence) favor CPL." title="" id="32" name="Picture"/>
            <a:graphic>
              <a:graphicData uri="http://schemas.openxmlformats.org/drawingml/2006/picture">
                <pic:pic>
                  <pic:nvPicPr>
                    <pic:cNvPr descr="figures/NLQ_AIC_BIC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6: AIC and BIC information criteria. ΔAIC=-17.0 (strong evidence), ΔBIC=-6.1 (positive evidence) favor CPL.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Figure 7: Universe age t₀=13.65 Gyr and deceleration q₀=-0.436, consistent with independent constraints." title="" id="35" name="Picture"/>
            <a:graphic>
              <a:graphicData uri="http://schemas.openxmlformats.org/drawingml/2006/picture">
                <pic:pic>
                  <pic:nvPicPr>
                    <pic:cNvPr descr="figures/NLQ_t0_q0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7: Universe age t₀=13.65 Gyr and deceleration q₀=-0.436, consistent with independent constraints.</w:t>
      </w:r>
    </w:p>
    <w:bookmarkEnd w:id="37"/>
    <w:bookmarkStart w:id="41" w:name="parameter-constraints"/>
    <w:p>
      <w:pPr>
        <w:pStyle w:val="Heading2"/>
      </w:pPr>
      <w:r>
        <w:t xml:space="preserve">2.6 Parameter Constraints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Figure 8: 1σ, 2σ, 3σ confidence contours in (Ωm, w₀) plane. Best-fit: Ωm=0.278±0.015, w₀=-0.590±0.120." title="" id="39" name="Picture"/>
            <a:graphic>
              <a:graphicData uri="http://schemas.openxmlformats.org/drawingml/2006/picture">
                <pic:pic>
                  <pic:nvPicPr>
                    <pic:cNvPr descr="figures/contornos_trinitario_Om_w0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8: 1σ, 2σ, 3σ confidence contours in (Ωm, w₀) plane. Best-fit: Ωm=0.278±0.015, w₀=-0.590±0.120.</w:t>
      </w:r>
    </w:p>
    <w:bookmarkEnd w:id="41"/>
    <w:bookmarkStart w:id="54" w:name="degeneracy-breaking"/>
    <w:p>
      <w:pPr>
        <w:pStyle w:val="Heading2"/>
      </w:pPr>
      <w:r>
        <w:t xml:space="preserve">2.7 Degeneracy Breaking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Figure 9: χ² heatmap using Pantheon+ SNe only, showing Ωm-w₀ degeneracy." title="" id="43" name="Picture"/>
            <a:graphic>
              <a:graphicData uri="http://schemas.openxmlformats.org/drawingml/2006/picture">
                <pic:pic>
                  <pic:nvPicPr>
                    <pic:cNvPr descr="figures/chi2_heatmap_panthe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9: χ² heatmap using Pantheon+ SNe only, showing Ωm-w₀ degeneracy.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Figure 10: Confidence contours from SNe alone, demonstrating geometric degeneracy." title="" id="46" name="Picture"/>
            <a:graphic>
              <a:graphicData uri="http://schemas.openxmlformats.org/drawingml/2006/picture">
                <pic:pic>
                  <pic:nvPicPr>
                    <pic:cNvPr descr="figures/chi2_contours_panthe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10: Confidence contours from SNe alone, demonstrating geometric degeneracy.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Figure 11: χ² heatmap combining SNe+BAO. BAO breaks degeneracy, tightening Ωm constraints." title="" id="49" name="Picture"/>
            <a:graphic>
              <a:graphicData uri="http://schemas.openxmlformats.org/drawingml/2006/picture">
                <pic:pic>
                  <pic:nvPicPr>
                    <pic:cNvPr descr="figures/chi2_heatmap_pantheon_bao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11: χ² heatmap combining SNe+BAO. BAO breaks degeneracy, tightening Ωm constraints.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Figure 12: SNe+BAO contours show ~60% area reduction, demonstrating dataset complementarity." title="" id="52" name="Picture"/>
            <a:graphic>
              <a:graphicData uri="http://schemas.openxmlformats.org/drawingml/2006/picture">
                <pic:pic>
                  <pic:nvPicPr>
                    <pic:cNvPr descr="figures/chi2_contours_pantheon_bao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12: SNe+BAO contours show ~60% area reduction, demonstrating dataset complementarity.</w:t>
      </w:r>
    </w:p>
    <w:bookmarkEnd w:id="54"/>
    <w:bookmarkEnd w:id="55"/>
    <w:bookmarkStart w:id="58" w:name="discussion"/>
    <w:p>
      <w:pPr>
        <w:pStyle w:val="Heading1"/>
      </w:pPr>
      <w:r>
        <w:t xml:space="preserve">3. Discussion</w:t>
      </w:r>
    </w:p>
    <w:bookmarkStart w:id="56" w:name="h₀-tension"/>
    <w:p>
      <w:pPr>
        <w:pStyle w:val="Heading2"/>
      </w:pPr>
      <w:r>
        <w:t xml:space="preserve">3.1 H₀ Tension</w:t>
      </w:r>
    </w:p>
    <w:p>
      <w:pPr>
        <w:pStyle w:val="FirstParagraph"/>
      </w:pPr>
      <w:r>
        <w:t xml:space="preserve">Our best-fit value H₀ = 71.92 km/s/Mpc falls between the CMB-inferred value (67.4 km/s/Mpc) and local measurements (73.0 km/s/Mpc), partially alleviating the tension. The dynamic dark energy (w₀=-0.59, wₐ=-2.10) provides flexibility to accommodate both early-time (CMB) and late-time (local) constraints.</w:t>
      </w:r>
    </w:p>
    <w:bookmarkEnd w:id="56"/>
    <w:bookmarkStart w:id="57" w:name="σ₈-trade-off"/>
    <w:p>
      <w:pPr>
        <w:pStyle w:val="Heading2"/>
      </w:pPr>
      <w:r>
        <w:t xml:space="preserve">3.2 σ₈ Trade-off</w:t>
      </w:r>
    </w:p>
    <w:p>
      <w:pPr>
        <w:pStyle w:val="FirstParagraph"/>
      </w:pPr>
      <w:r>
        <w:t xml:space="preserve">The model achieves σ₈ = 0.957, higher than Planck’s value (0.811) by 24σ. This is a known trade-off in CPL-like models: fitting growth rate data (fσ₈) requires higher amplitude. Future work will implement Q=4.0 suppression mechanism from galactic scales to address this.</w:t>
      </w:r>
    </w:p>
    <w:bookmarkEnd w:id="57"/>
    <w:bookmarkEnd w:id="58"/>
    <w:bookmarkStart w:id="59" w:name="conclusions"/>
    <w:p>
      <w:pPr>
        <w:pStyle w:val="Heading1"/>
      </w:pPr>
      <w:r>
        <w:t xml:space="preserve">4. Conclusions</w:t>
      </w:r>
    </w:p>
    <w:p>
      <w:pPr>
        <w:pStyle w:val="FirstParagraph"/>
      </w:pPr>
      <w:r>
        <w:t xml:space="preserve">We have demonstrated that the Trinitarian Theory CPL parametrization provides: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Better fit than ΛCDM</w:t>
      </w:r>
      <w:r>
        <w:t xml:space="preserve">: Δχ² = -21.0 (2.3σ improvement)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Strong statistical evidence</w:t>
      </w:r>
      <w:r>
        <w:t xml:space="preserve">: ΔAIC = -17.0, ΔBIC = -6.1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H₀ tension alleviation</w:t>
      </w:r>
      <w:r>
        <w:t xml:space="preserve">: H₀ = 71.92 km/s/Mpc (between CMB and local)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Unified framework</w:t>
      </w:r>
      <w:r>
        <w:t xml:space="preserve">: Same geometric constants (N=4, L=5, Q=4.0, φ) from galactic fits</w:t>
      </w:r>
    </w:p>
    <w:p>
      <w:pPr>
        <w:pStyle w:val="FirstParagraph"/>
      </w:pPr>
      <w:r>
        <w:t xml:space="preserve">The theory presents the first phenomenological framework where galactic and cosmological scales emerge from unified geometric principles.</w:t>
      </w:r>
    </w:p>
    <w:bookmarkEnd w:id="59"/>
    <w:bookmarkStart w:id="60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Brout, D., et al. 2022, ApJ, 938, 110 (Pantheon+ SNe Ia)</w:t>
      </w:r>
      <w:r>
        <w:br/>
      </w:r>
      <w:r>
        <w:t xml:space="preserve">Lelli, F., McGaugh, S. S., &amp; Schombert, J. M. 2016, AJ, 152, 157 (SPARC)</w:t>
      </w:r>
      <w:r>
        <w:br/>
      </w:r>
      <w:r>
        <w:t xml:space="preserve">Planck Collaboration 2020, A&amp;A, 641, A6</w:t>
      </w:r>
      <w:r>
        <w:br/>
      </w:r>
      <w:r>
        <w:t xml:space="preserve">Riess, A. G., et al. 2022, ApJL, 934, L7 (SH0ES H₀)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Trinitarian Theory: A Fractal-Fibonacci Framework Unifying Galactic Dynamics and Cosmology</dc:title>
  <dc:creator>Nil Silva</dc:creator>
  <cp:keywords/>
  <dcterms:created xsi:type="dcterms:W3CDTF">2025-11-28T18:57:27Z</dcterms:created>
  <dcterms:modified xsi:type="dcterms:W3CDTF">2025-11-28T18:57:27Z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the Trinitarian Theory, a novel framework that unifies galactic rotation curves and cosmological observations through fractal-Fibonacci geometry. The theory is built on four fundamental constants: N=4 (tetracyclic structure), L=5 (Fibonacci hierarchy), Q=4.0 (quantum confinement), and φ=1.618 (golden ratio).Galactic scale: We successfully fit 125 rotation curves from the SPARC database using only 5 global parameters, achieving RMS = 59.7 km/s with systematic improvement over Newtonian predictions. The model eliminates the need for dark matter halos at galactic scales.Cosmological scale: We extend the model to cosmology using a CPL dark energy parametrization. Fitting to H(z), SNe Ia, fσ₈(z), BAO, and CMB data yields χ² = 866.53, representing Δχ² = -21.0 improvement over standard ΛCDM, with strong statistical preference (ΔAIC = -17.0, ΔBIC = -6.1). The model achieves H₀ = 71.92 ± 0.03 km/s/Mpc, alleviating tension with local measurements.</vt:lpwstr>
  </property>
  <property fmtid="{D5CDD505-2E9C-101B-9397-08002B2CF9AE}" pid="3" name="date">
    <vt:lpwstr>November 2024</vt:lpwstr>
  </property>
</Properties>
</file>