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6630" w14:textId="39FAF1D6" w:rsidR="00227258" w:rsidRPr="00227258" w:rsidRDefault="00227258" w:rsidP="000D50A2">
      <w:pPr>
        <w:jc w:val="center"/>
        <w:rPr>
          <w:rFonts w:ascii="Times New Roman" w:hAnsi="Times New Roman" w:cs="Times New Roman"/>
          <w:color w:val="201F1E"/>
          <w:sz w:val="32"/>
          <w:szCs w:val="32"/>
          <w:shd w:val="clear" w:color="auto" w:fill="FFFFFF"/>
        </w:rPr>
      </w:pPr>
      <w:r w:rsidRPr="00227258">
        <w:rPr>
          <w:rFonts w:ascii="Times New Roman" w:hAnsi="Times New Roman" w:cs="Times New Roman"/>
          <w:color w:val="201F1E"/>
          <w:sz w:val="32"/>
          <w:szCs w:val="32"/>
          <w:shd w:val="clear" w:color="auto" w:fill="FFFFFF"/>
        </w:rPr>
        <w:t xml:space="preserve">CS </w:t>
      </w:r>
      <w:r w:rsidR="00421AFB">
        <w:rPr>
          <w:rFonts w:ascii="Times New Roman" w:hAnsi="Times New Roman" w:cs="Times New Roman" w:hint="eastAsia"/>
          <w:color w:val="201F1E"/>
          <w:sz w:val="32"/>
          <w:szCs w:val="32"/>
          <w:shd w:val="clear" w:color="auto" w:fill="FFFFFF"/>
        </w:rPr>
        <w:t>510</w:t>
      </w:r>
      <w:r w:rsidRPr="00227258">
        <w:rPr>
          <w:rFonts w:ascii="Times New Roman" w:hAnsi="Times New Roman" w:cs="Times New Roman"/>
          <w:color w:val="201F1E"/>
          <w:sz w:val="32"/>
          <w:szCs w:val="32"/>
          <w:shd w:val="clear" w:color="auto" w:fill="FFFFFF"/>
        </w:rPr>
        <w:t xml:space="preserve"> Final Project</w:t>
      </w:r>
      <w:r w:rsidR="00897556">
        <w:rPr>
          <w:rFonts w:ascii="Times New Roman" w:hAnsi="Times New Roman" w:cs="Times New Roman"/>
          <w:color w:val="201F1E"/>
          <w:sz w:val="32"/>
          <w:szCs w:val="32"/>
          <w:shd w:val="clear" w:color="auto" w:fill="FFFFFF"/>
        </w:rPr>
        <w:t xml:space="preserve"> Report</w:t>
      </w:r>
    </w:p>
    <w:p w14:paraId="55A2FF75" w14:textId="1A2209C9" w:rsidR="000D50A2" w:rsidRDefault="000D50A2">
      <w:pPr>
        <w:rPr>
          <w:rFonts w:ascii="Times New Roman" w:hAnsi="Times New Roman" w:cs="Times New Roman"/>
          <w:color w:val="201F1E"/>
          <w:sz w:val="24"/>
          <w:szCs w:val="24"/>
          <w:shd w:val="clear" w:color="auto" w:fill="FFFFFF"/>
        </w:rPr>
      </w:pPr>
    </w:p>
    <w:p w14:paraId="26DE3279" w14:textId="1257BA63" w:rsidR="00227258" w:rsidRPr="000D50A2" w:rsidRDefault="00227258" w:rsidP="00227258">
      <w:pPr>
        <w:jc w:val="right"/>
        <w:rPr>
          <w:rFonts w:ascii="Times New Roman" w:hAnsi="Times New Roman" w:cs="Times New Roman"/>
          <w:color w:val="201F1E"/>
          <w:shd w:val="clear" w:color="auto" w:fill="FFFFFF"/>
        </w:rPr>
      </w:pPr>
      <w:r>
        <w:rPr>
          <w:rFonts w:ascii="Times New Roman" w:hAnsi="Times New Roman" w:cs="Times New Roman"/>
          <w:color w:val="201F1E"/>
          <w:sz w:val="24"/>
          <w:szCs w:val="24"/>
          <w:shd w:val="clear" w:color="auto" w:fill="FFFFFF"/>
        </w:rPr>
        <w:t>Hanna Lu</w:t>
      </w:r>
    </w:p>
    <w:p w14:paraId="2AF048D5" w14:textId="5F26D5FD" w:rsidR="000D50A2" w:rsidRDefault="000D50A2">
      <w:pPr>
        <w:rPr>
          <w:rFonts w:ascii="Times New Roman" w:hAnsi="Times New Roman" w:cs="Times New Roman"/>
        </w:rPr>
      </w:pPr>
    </w:p>
    <w:p w14:paraId="6FEC371B" w14:textId="702035C6" w:rsidR="000D50A2" w:rsidRPr="003A5555" w:rsidRDefault="000D50A2">
      <w:pPr>
        <w:rPr>
          <w:rFonts w:ascii="Times New Roman" w:hAnsi="Times New Roman" w:cs="Times New Roman"/>
          <w:b/>
          <w:bCs/>
        </w:rPr>
      </w:pPr>
      <w:r w:rsidRPr="003A5555">
        <w:rPr>
          <w:rFonts w:ascii="Times New Roman" w:hAnsi="Times New Roman" w:cs="Times New Roman"/>
          <w:b/>
          <w:bCs/>
        </w:rPr>
        <w:t>Introduction</w:t>
      </w:r>
    </w:p>
    <w:p w14:paraId="77E4E44C" w14:textId="4B175C51" w:rsidR="00C53D31" w:rsidRDefault="003515AC">
      <w:pPr>
        <w:rPr>
          <w:rFonts w:ascii="Times New Roman" w:hAnsi="Times New Roman" w:cs="Times New Roman"/>
        </w:rPr>
      </w:pPr>
      <w:r>
        <w:rPr>
          <w:rFonts w:ascii="Times New Roman" w:hAnsi="Times New Roman" w:cs="Times New Roman"/>
        </w:rPr>
        <w:t>Acutely ill p</w:t>
      </w:r>
      <w:r w:rsidR="00C53D31" w:rsidRPr="00C53D31">
        <w:rPr>
          <w:rFonts w:ascii="Times New Roman" w:hAnsi="Times New Roman" w:cs="Times New Roman"/>
        </w:rPr>
        <w:t xml:space="preserve">atients are discharged to different locations such as SNF (skilled nursing facilities), hospice, long-term care hospitals, rehabilitation facilities, </w:t>
      </w:r>
      <w:r w:rsidR="00BC2FD5">
        <w:rPr>
          <w:rFonts w:ascii="Times New Roman" w:hAnsi="Times New Roman" w:cs="Times New Roman"/>
        </w:rPr>
        <w:t>or</w:t>
      </w:r>
      <w:r w:rsidR="00C53D31" w:rsidRPr="00C53D31">
        <w:rPr>
          <w:rFonts w:ascii="Times New Roman" w:hAnsi="Times New Roman" w:cs="Times New Roman"/>
        </w:rPr>
        <w:t xml:space="preserve"> home according to doctors’ judgement of the patients’ health condition at the end of their stay in the hospital. Those who are sent home are considered to be in a steady and safe condition at the end of their hospital stay. However, a significant percentage of patients who are sent home die within 90 days of discharge from the hospital. In this study, we aim to </w:t>
      </w:r>
      <w:r w:rsidR="00C53D31">
        <w:rPr>
          <w:rFonts w:ascii="Times New Roman" w:hAnsi="Times New Roman" w:cs="Times New Roman"/>
        </w:rPr>
        <w:t>identify</w:t>
      </w:r>
      <w:r w:rsidR="00C53D31" w:rsidRPr="00C53D31">
        <w:rPr>
          <w:rFonts w:ascii="Times New Roman" w:hAnsi="Times New Roman" w:cs="Times New Roman"/>
        </w:rPr>
        <w:t xml:space="preserve"> the mortality risk indicators to help doctors reevaluate their patient discharge decisions in hope of reducing mortality rate among patients who are sent home after their stay in the hospital.</w:t>
      </w:r>
    </w:p>
    <w:p w14:paraId="7432FC33" w14:textId="6C14F50E" w:rsidR="00421AFB" w:rsidRDefault="00421AFB">
      <w:pPr>
        <w:rPr>
          <w:rFonts w:ascii="Times New Roman" w:hAnsi="Times New Roman" w:cs="Times New Roman"/>
        </w:rPr>
      </w:pPr>
      <w:r w:rsidRPr="00421AFB">
        <w:rPr>
          <w:rFonts w:ascii="Times New Roman" w:hAnsi="Times New Roman" w:cs="Times New Roman"/>
        </w:rPr>
        <w:t>The aim of this study is to find significant factors that impact the mortality rate of critically ill patients within 90 days after they are discharged from the hospital. The findings of this study may help doctors to re-evaluate their discharge decisions to reduce the mortality rate.</w:t>
      </w:r>
    </w:p>
    <w:p w14:paraId="00D94A58" w14:textId="77777777" w:rsidR="00A50C0B" w:rsidRDefault="00A50C0B">
      <w:pPr>
        <w:rPr>
          <w:rFonts w:ascii="Times New Roman" w:hAnsi="Times New Roman" w:cs="Times New Roman"/>
          <w:b/>
          <w:bCs/>
        </w:rPr>
      </w:pPr>
    </w:p>
    <w:p w14:paraId="19C3896C" w14:textId="03DC0222" w:rsidR="0079161B" w:rsidRPr="006F2ADD" w:rsidRDefault="0079161B">
      <w:pPr>
        <w:rPr>
          <w:rFonts w:ascii="Times New Roman" w:hAnsi="Times New Roman" w:cs="Times New Roman"/>
          <w:b/>
          <w:bCs/>
        </w:rPr>
      </w:pPr>
      <w:r w:rsidRPr="006F2ADD">
        <w:rPr>
          <w:rFonts w:ascii="Times New Roman" w:hAnsi="Times New Roman" w:cs="Times New Roman"/>
          <w:b/>
          <w:bCs/>
        </w:rPr>
        <w:t>Data</w:t>
      </w:r>
      <w:r w:rsidR="00E03F65">
        <w:rPr>
          <w:rFonts w:ascii="Times New Roman" w:hAnsi="Times New Roman" w:cs="Times New Roman"/>
          <w:b/>
          <w:bCs/>
        </w:rPr>
        <w:t xml:space="preserve"> Source</w:t>
      </w:r>
    </w:p>
    <w:p w14:paraId="0ED822A5" w14:textId="7ED91EE6" w:rsidR="00C53D31" w:rsidRDefault="00C53D31" w:rsidP="00C53D31">
      <w:pPr>
        <w:rPr>
          <w:rFonts w:ascii="Times New Roman" w:hAnsi="Times New Roman" w:cs="Times New Roman"/>
        </w:rPr>
      </w:pPr>
      <w:r w:rsidRPr="00C53D31">
        <w:rPr>
          <w:rFonts w:ascii="Times New Roman" w:hAnsi="Times New Roman" w:cs="Times New Roman"/>
        </w:rPr>
        <w:t xml:space="preserve">This study investigates variables </w:t>
      </w:r>
      <w:r>
        <w:rPr>
          <w:rFonts w:ascii="Times New Roman" w:hAnsi="Times New Roman" w:cs="Times New Roman"/>
        </w:rPr>
        <w:t xml:space="preserve">extracted </w:t>
      </w:r>
      <w:r w:rsidRPr="00C53D31">
        <w:rPr>
          <w:rFonts w:ascii="Times New Roman" w:hAnsi="Times New Roman" w:cs="Times New Roman"/>
        </w:rPr>
        <w:t>from 11 data sets from the MIMIC-III (Medical Information Mart for Intensive Care III) database (https://mimic.physionet.org/gettingstarted/access/) where all patients have been admitted to one or more Intensive Care Units (ICU) at the Beth Israel Deaconess Medical Center in Boston, Massachusetts between 2001 and 2012. This database is publicly available, and the patient records are fully deidentified</w:t>
      </w:r>
      <w:r>
        <w:rPr>
          <w:rFonts w:ascii="Times New Roman" w:hAnsi="Times New Roman" w:cs="Times New Roman"/>
        </w:rPr>
        <w:t>.</w:t>
      </w:r>
      <w:r w:rsidR="006E1184">
        <w:rPr>
          <w:rFonts w:ascii="Times New Roman" w:hAnsi="Times New Roman" w:cs="Times New Roman"/>
        </w:rPr>
        <w:t xml:space="preserve"> </w:t>
      </w:r>
      <w:r w:rsidR="006E1184" w:rsidRPr="006E1184">
        <w:rPr>
          <w:rFonts w:ascii="Times New Roman" w:hAnsi="Times New Roman" w:cs="Times New Roman"/>
          <w:vertAlign w:val="superscript"/>
        </w:rPr>
        <w:t>[1]</w:t>
      </w:r>
    </w:p>
    <w:p w14:paraId="661CEB24" w14:textId="3FDBE963" w:rsidR="00C53D31" w:rsidRDefault="00C53D31" w:rsidP="00C53D31">
      <w:pPr>
        <w:rPr>
          <w:rFonts w:ascii="Times New Roman" w:hAnsi="Times New Roman" w:cs="Times New Roman"/>
        </w:rPr>
      </w:pPr>
      <w:r w:rsidRPr="00C53D31">
        <w:rPr>
          <w:rFonts w:ascii="Times New Roman" w:hAnsi="Times New Roman" w:cs="Times New Roman"/>
        </w:rPr>
        <w:t xml:space="preserve">This study focuses on adult patients who are sent home after their hospital stay. Therefore, patients who are below the age of 18 at the time of being discharged from the hospital are excluded from this study. Patients who stayed in the hospital for one day or less,  who died in the hospital or within one day of being discharged from the hospital, and those who were discharged to </w:t>
      </w:r>
      <w:r w:rsidR="007244DE">
        <w:rPr>
          <w:rFonts w:ascii="Times New Roman" w:hAnsi="Times New Roman" w:cs="Times New Roman"/>
        </w:rPr>
        <w:t>h</w:t>
      </w:r>
      <w:r w:rsidRPr="00C53D31">
        <w:rPr>
          <w:rFonts w:ascii="Times New Roman" w:hAnsi="Times New Roman" w:cs="Times New Roman"/>
        </w:rPr>
        <w:t>ospice or hospice equivalent facilities are also excluded. After applying these criteria, there are 11,666 patients</w:t>
      </w:r>
      <w:r w:rsidR="007244DE">
        <w:rPr>
          <w:rFonts w:ascii="Times New Roman" w:hAnsi="Times New Roman" w:cs="Times New Roman"/>
        </w:rPr>
        <w:t xml:space="preserve"> in the data</w:t>
      </w:r>
      <w:r w:rsidRPr="00C53D31">
        <w:rPr>
          <w:rFonts w:ascii="Times New Roman" w:hAnsi="Times New Roman" w:cs="Times New Roman"/>
        </w:rPr>
        <w:t>.</w:t>
      </w:r>
    </w:p>
    <w:p w14:paraId="47212105" w14:textId="77777777" w:rsidR="00E03F65" w:rsidRDefault="00E03F65">
      <w:pPr>
        <w:rPr>
          <w:rFonts w:ascii="Times New Roman" w:hAnsi="Times New Roman" w:cs="Times New Roman"/>
        </w:rPr>
      </w:pPr>
    </w:p>
    <w:p w14:paraId="41EA8955" w14:textId="21A5796D" w:rsidR="00FF128F" w:rsidRPr="00E03F65" w:rsidRDefault="00E03F65">
      <w:pPr>
        <w:rPr>
          <w:rFonts w:ascii="Times New Roman" w:hAnsi="Times New Roman" w:cs="Times New Roman"/>
          <w:b/>
          <w:bCs/>
        </w:rPr>
      </w:pPr>
      <w:r w:rsidRPr="00E03F65">
        <w:rPr>
          <w:rFonts w:ascii="Times New Roman" w:hAnsi="Times New Roman" w:cs="Times New Roman"/>
          <w:b/>
          <w:bCs/>
        </w:rPr>
        <w:t>Data Preprocessing</w:t>
      </w:r>
    </w:p>
    <w:p w14:paraId="1623833C" w14:textId="6343A088" w:rsidR="00BB2641" w:rsidRPr="00C53D31" w:rsidRDefault="00BB2641" w:rsidP="00BB2641">
      <w:pPr>
        <w:rPr>
          <w:rFonts w:ascii="Times New Roman" w:hAnsi="Times New Roman" w:cs="Times New Roman"/>
        </w:rPr>
      </w:pPr>
      <w:r>
        <w:rPr>
          <w:rFonts w:ascii="Times New Roman" w:hAnsi="Times New Roman" w:cs="Times New Roman"/>
        </w:rPr>
        <w:t xml:space="preserve">In order to reduce the potential bias on the estimated effect size of each variable caused by not including </w:t>
      </w:r>
      <w:r>
        <w:rPr>
          <w:rFonts w:ascii="Times New Roman" w:hAnsi="Times New Roman" w:cs="Times New Roman" w:hint="eastAsia"/>
        </w:rPr>
        <w:t>al</w:t>
      </w:r>
      <w:r>
        <w:rPr>
          <w:rFonts w:ascii="Times New Roman" w:hAnsi="Times New Roman" w:cs="Times New Roman"/>
        </w:rPr>
        <w:t xml:space="preserve">l underlying variables of the true model while keeping the dimensionality low, we investigated variables that are likely to be significant based on our judgement, previous </w:t>
      </w:r>
      <w:r>
        <w:rPr>
          <w:rFonts w:ascii="Times New Roman" w:hAnsi="Times New Roman" w:cs="Times New Roman" w:hint="eastAsia"/>
        </w:rPr>
        <w:t>r</w:t>
      </w:r>
      <w:r>
        <w:rPr>
          <w:rFonts w:ascii="Times New Roman" w:hAnsi="Times New Roman" w:cs="Times New Roman"/>
        </w:rPr>
        <w:t>esearch, and the accessibility of the data. These variables include demographic information such as age, gender, ethnicity, language, religion, and marriage status, general information such as insurance, admission type, the last ICU unit the patient was in before discharge, the last vital sign measurements</w:t>
      </w:r>
      <w:r w:rsidR="0024537F">
        <w:rPr>
          <w:rFonts w:ascii="Times New Roman" w:hAnsi="Times New Roman" w:cs="Times New Roman"/>
        </w:rPr>
        <w:t xml:space="preserve"> </w:t>
      </w:r>
      <w:r w:rsidR="0024537F" w:rsidRPr="0024537F">
        <w:rPr>
          <w:rFonts w:ascii="Times New Roman" w:hAnsi="Times New Roman" w:cs="Times New Roman"/>
          <w:vertAlign w:val="superscript"/>
        </w:rPr>
        <w:t>[3]</w:t>
      </w:r>
      <w:r>
        <w:rPr>
          <w:rFonts w:ascii="Times New Roman" w:hAnsi="Times New Roman" w:cs="Times New Roman"/>
        </w:rPr>
        <w:t>, and other information such as the number of medical notes</w:t>
      </w:r>
      <w:r w:rsidR="005577BD">
        <w:rPr>
          <w:rFonts w:ascii="Times New Roman" w:hAnsi="Times New Roman" w:cs="Times New Roman"/>
        </w:rPr>
        <w:t>,</w:t>
      </w:r>
      <w:r>
        <w:rPr>
          <w:rFonts w:ascii="Times New Roman" w:hAnsi="Times New Roman" w:cs="Times New Roman"/>
        </w:rPr>
        <w:t xml:space="preserve"> </w:t>
      </w:r>
      <w:r w:rsidR="00BB5F35">
        <w:rPr>
          <w:rFonts w:ascii="Times New Roman" w:hAnsi="Times New Roman" w:cs="Times New Roman"/>
        </w:rPr>
        <w:t xml:space="preserve">and </w:t>
      </w:r>
      <w:r>
        <w:rPr>
          <w:rFonts w:ascii="Times New Roman" w:hAnsi="Times New Roman" w:cs="Times New Roman"/>
        </w:rPr>
        <w:t>the length of hospital stay</w:t>
      </w:r>
      <w:r w:rsidR="00BB5F35">
        <w:rPr>
          <w:rFonts w:ascii="Times New Roman" w:hAnsi="Times New Roman" w:cs="Times New Roman"/>
        </w:rPr>
        <w:t>.</w:t>
      </w:r>
    </w:p>
    <w:p w14:paraId="630108C7" w14:textId="46EDED07" w:rsidR="00494DD6" w:rsidRDefault="00C53D31">
      <w:pPr>
        <w:rPr>
          <w:rFonts w:ascii="Times New Roman" w:hAnsi="Times New Roman" w:cs="Times New Roman"/>
        </w:rPr>
      </w:pPr>
      <w:r>
        <w:rPr>
          <w:rFonts w:ascii="Times New Roman" w:hAnsi="Times New Roman" w:cs="Times New Roman"/>
        </w:rPr>
        <w:t xml:space="preserve">Most variables </w:t>
      </w:r>
      <w:r w:rsidR="00AF2153">
        <w:rPr>
          <w:rFonts w:ascii="Times New Roman" w:hAnsi="Times New Roman" w:cs="Times New Roman"/>
        </w:rPr>
        <w:t>have been</w:t>
      </w:r>
      <w:r>
        <w:rPr>
          <w:rFonts w:ascii="Times New Roman" w:hAnsi="Times New Roman" w:cs="Times New Roman"/>
        </w:rPr>
        <w:t xml:space="preserve"> engineered. </w:t>
      </w:r>
      <w:r w:rsidR="00494DD6">
        <w:rPr>
          <w:rFonts w:ascii="Times New Roman" w:hAnsi="Times New Roman" w:cs="Times New Roman"/>
        </w:rPr>
        <w:t>Categorical variables are regrouped based on the number of observations in each category and the similarity of different categories</w:t>
      </w:r>
      <w:r w:rsidR="004C3D44">
        <w:rPr>
          <w:rFonts w:ascii="Times New Roman" w:hAnsi="Times New Roman" w:cs="Times New Roman"/>
        </w:rPr>
        <w:t xml:space="preserve"> </w:t>
      </w:r>
      <w:r w:rsidR="007541A8">
        <w:rPr>
          <w:rFonts w:ascii="Times New Roman" w:hAnsi="Times New Roman" w:cs="Times New Roman"/>
        </w:rPr>
        <w:t xml:space="preserve">to reduce dimensionality and to </w:t>
      </w:r>
      <w:r w:rsidR="007541A8">
        <w:rPr>
          <w:rFonts w:ascii="Times New Roman" w:hAnsi="Times New Roman" w:cs="Times New Roman"/>
        </w:rPr>
        <w:lastRenderedPageBreak/>
        <w:t>balance the sample size of each category while keeping the new groups meaningful</w:t>
      </w:r>
      <w:r w:rsidR="00494DD6">
        <w:rPr>
          <w:rFonts w:ascii="Times New Roman" w:hAnsi="Times New Roman" w:cs="Times New Roman"/>
        </w:rPr>
        <w:t xml:space="preserve">. Numerical variables are grouped into intervals </w:t>
      </w:r>
      <w:r w:rsidR="004C3D44">
        <w:rPr>
          <w:rFonts w:ascii="Times New Roman" w:hAnsi="Times New Roman" w:cs="Times New Roman"/>
        </w:rPr>
        <w:t>since they may not have a linear relationship with mortality, especially with the presence of other variables.</w:t>
      </w:r>
      <w:r w:rsidR="00D53FF7">
        <w:rPr>
          <w:rFonts w:ascii="Times New Roman" w:hAnsi="Times New Roman" w:cs="Times New Roman"/>
        </w:rPr>
        <w:t xml:space="preserve"> Figure 1 shows the</w:t>
      </w:r>
      <w:r w:rsidR="005B78EE">
        <w:rPr>
          <w:rFonts w:ascii="Times New Roman" w:hAnsi="Times New Roman" w:cs="Times New Roman"/>
        </w:rPr>
        <w:t xml:space="preserve"> bar plots of</w:t>
      </w:r>
      <w:r w:rsidR="00D53FF7">
        <w:rPr>
          <w:rFonts w:ascii="Times New Roman" w:hAnsi="Times New Roman" w:cs="Times New Roman"/>
        </w:rPr>
        <w:t xml:space="preserve"> categorical variables</w:t>
      </w:r>
      <w:r w:rsidR="005B78EE">
        <w:rPr>
          <w:rFonts w:ascii="Times New Roman" w:hAnsi="Times New Roman" w:cs="Times New Roman"/>
        </w:rPr>
        <w:t xml:space="preserve"> by event (event of death). </w:t>
      </w:r>
    </w:p>
    <w:p w14:paraId="5C8A8E8E" w14:textId="09438402" w:rsidR="006B2D93" w:rsidRDefault="006B2D93">
      <w:pPr>
        <w:rPr>
          <w:rFonts w:ascii="Times New Roman" w:hAnsi="Times New Roman" w:cs="Times New Roman"/>
        </w:rPr>
      </w:pPr>
      <w:r w:rsidRPr="006B2D93">
        <w:rPr>
          <w:rFonts w:ascii="Times New Roman" w:hAnsi="Times New Roman" w:cs="Times New Roman"/>
          <w:noProof/>
        </w:rPr>
        <w:drawing>
          <wp:inline distT="0" distB="0" distL="0" distR="0" wp14:anchorId="2C8E67B7" wp14:editId="1B6A229C">
            <wp:extent cx="2897877" cy="1777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2736" cy="1786478"/>
                    </a:xfrm>
                    <a:prstGeom prst="rect">
                      <a:avLst/>
                    </a:prstGeom>
                    <a:noFill/>
                    <a:ln>
                      <a:noFill/>
                    </a:ln>
                  </pic:spPr>
                </pic:pic>
              </a:graphicData>
            </a:graphic>
          </wp:inline>
        </w:drawing>
      </w:r>
      <w:r w:rsidRPr="006B2D93">
        <w:rPr>
          <w:rFonts w:ascii="Times New Roman" w:hAnsi="Times New Roman" w:cs="Times New Roman"/>
          <w:noProof/>
        </w:rPr>
        <w:drawing>
          <wp:inline distT="0" distB="0" distL="0" distR="0" wp14:anchorId="2BF4ED21" wp14:editId="4D2996DF">
            <wp:extent cx="2876550" cy="176341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9194" cy="1771167"/>
                    </a:xfrm>
                    <a:prstGeom prst="rect">
                      <a:avLst/>
                    </a:prstGeom>
                    <a:noFill/>
                    <a:ln>
                      <a:noFill/>
                    </a:ln>
                  </pic:spPr>
                </pic:pic>
              </a:graphicData>
            </a:graphic>
          </wp:inline>
        </w:drawing>
      </w:r>
    </w:p>
    <w:p w14:paraId="7E2BF699" w14:textId="4A2A6BF1" w:rsidR="006B2D93" w:rsidRDefault="006B2D93">
      <w:pPr>
        <w:rPr>
          <w:rFonts w:ascii="Times New Roman" w:hAnsi="Times New Roman" w:cs="Times New Roman"/>
        </w:rPr>
      </w:pPr>
      <w:r w:rsidRPr="006B2D93">
        <w:rPr>
          <w:rFonts w:ascii="Times New Roman" w:hAnsi="Times New Roman" w:cs="Times New Roman"/>
          <w:noProof/>
        </w:rPr>
        <w:drawing>
          <wp:inline distT="0" distB="0" distL="0" distR="0" wp14:anchorId="2B4A5366" wp14:editId="36A431A2">
            <wp:extent cx="2909773" cy="17589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5447" cy="1768425"/>
                    </a:xfrm>
                    <a:prstGeom prst="rect">
                      <a:avLst/>
                    </a:prstGeom>
                    <a:noFill/>
                    <a:ln>
                      <a:noFill/>
                    </a:ln>
                  </pic:spPr>
                </pic:pic>
              </a:graphicData>
            </a:graphic>
          </wp:inline>
        </w:drawing>
      </w:r>
      <w:r w:rsidR="001C00F1" w:rsidRPr="001C00F1">
        <w:rPr>
          <w:rFonts w:ascii="Times New Roman" w:hAnsi="Times New Roman" w:cs="Times New Roman"/>
          <w:noProof/>
        </w:rPr>
        <w:drawing>
          <wp:inline distT="0" distB="0" distL="0" distR="0" wp14:anchorId="4BBE2A7C" wp14:editId="3B9B26C0">
            <wp:extent cx="2939571" cy="179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9197" cy="1802934"/>
                    </a:xfrm>
                    <a:prstGeom prst="rect">
                      <a:avLst/>
                    </a:prstGeom>
                    <a:noFill/>
                    <a:ln>
                      <a:noFill/>
                    </a:ln>
                  </pic:spPr>
                </pic:pic>
              </a:graphicData>
            </a:graphic>
          </wp:inline>
        </w:drawing>
      </w:r>
    </w:p>
    <w:p w14:paraId="587BCE5F" w14:textId="1D5F7228" w:rsidR="001C00F1" w:rsidRDefault="00E70151">
      <w:pPr>
        <w:rPr>
          <w:rFonts w:ascii="Times New Roman" w:hAnsi="Times New Roman" w:cs="Times New Roman"/>
        </w:rPr>
      </w:pPr>
      <w:r w:rsidRPr="00E70151">
        <w:rPr>
          <w:rFonts w:ascii="Times New Roman" w:hAnsi="Times New Roman" w:cs="Times New Roman"/>
          <w:noProof/>
        </w:rPr>
        <w:drawing>
          <wp:inline distT="0" distB="0" distL="0" distR="0" wp14:anchorId="2FD34B6B" wp14:editId="73EC6BD8">
            <wp:extent cx="2927350" cy="1790666"/>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7945" cy="1797147"/>
                    </a:xfrm>
                    <a:prstGeom prst="rect">
                      <a:avLst/>
                    </a:prstGeom>
                    <a:noFill/>
                    <a:ln>
                      <a:noFill/>
                    </a:ln>
                  </pic:spPr>
                </pic:pic>
              </a:graphicData>
            </a:graphic>
          </wp:inline>
        </w:drawing>
      </w:r>
      <w:r w:rsidRPr="00E70151">
        <w:rPr>
          <w:rFonts w:ascii="Times New Roman" w:hAnsi="Times New Roman" w:cs="Times New Roman"/>
          <w:noProof/>
        </w:rPr>
        <w:drawing>
          <wp:inline distT="0" distB="0" distL="0" distR="0" wp14:anchorId="5AD69AD6" wp14:editId="65342AEB">
            <wp:extent cx="2959100" cy="17950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2567" cy="1803226"/>
                    </a:xfrm>
                    <a:prstGeom prst="rect">
                      <a:avLst/>
                    </a:prstGeom>
                    <a:noFill/>
                    <a:ln>
                      <a:noFill/>
                    </a:ln>
                  </pic:spPr>
                </pic:pic>
              </a:graphicData>
            </a:graphic>
          </wp:inline>
        </w:drawing>
      </w:r>
    </w:p>
    <w:p w14:paraId="71AB3AE0" w14:textId="10F27783" w:rsidR="00E70151" w:rsidRDefault="00E70151" w:rsidP="00E70151">
      <w:pPr>
        <w:jc w:val="center"/>
        <w:rPr>
          <w:rFonts w:ascii="Times New Roman" w:hAnsi="Times New Roman" w:cs="Times New Roman"/>
        </w:rPr>
      </w:pPr>
      <w:r>
        <w:rPr>
          <w:rFonts w:ascii="Times New Roman" w:hAnsi="Times New Roman" w:cs="Times New Roman"/>
        </w:rPr>
        <w:t>Figure 1. Categorical variables by Event</w:t>
      </w:r>
    </w:p>
    <w:p w14:paraId="5505C250" w14:textId="7B715B49" w:rsidR="001B06A4" w:rsidRDefault="004C3D44" w:rsidP="00F63999">
      <w:pPr>
        <w:spacing w:before="360"/>
        <w:rPr>
          <w:rFonts w:ascii="Times New Roman" w:hAnsi="Times New Roman" w:cs="Times New Roman"/>
        </w:rPr>
      </w:pPr>
      <w:r>
        <w:rPr>
          <w:rFonts w:ascii="Times New Roman" w:hAnsi="Times New Roman" w:cs="Times New Roman"/>
        </w:rPr>
        <w:t>Since a</w:t>
      </w:r>
      <w:r w:rsidR="00115335">
        <w:rPr>
          <w:rFonts w:ascii="Times New Roman" w:hAnsi="Times New Roman" w:cs="Times New Roman"/>
        </w:rPr>
        <w:t>ll date variables are masked in the same fashion to deidentify the patients</w:t>
      </w:r>
      <w:r>
        <w:rPr>
          <w:rFonts w:ascii="Times New Roman" w:hAnsi="Times New Roman" w:cs="Times New Roman"/>
        </w:rPr>
        <w:t xml:space="preserve"> in the database,</w:t>
      </w:r>
      <w:r w:rsidR="00115335">
        <w:rPr>
          <w:rFonts w:ascii="Times New Roman" w:hAnsi="Times New Roman" w:cs="Times New Roman"/>
        </w:rPr>
        <w:t xml:space="preserve"> the </w:t>
      </w:r>
      <w:r w:rsidR="00196885">
        <w:rPr>
          <w:rFonts w:ascii="Times New Roman" w:hAnsi="Times New Roman" w:cs="Times New Roman"/>
        </w:rPr>
        <w:t xml:space="preserve">age of a patient at time of discharge from the hospital was calculated as the </w:t>
      </w:r>
      <w:r w:rsidR="00115335">
        <w:rPr>
          <w:rFonts w:ascii="Times New Roman" w:hAnsi="Times New Roman" w:cs="Times New Roman"/>
        </w:rPr>
        <w:t xml:space="preserve">difference between the date of discharge and the date of birth. </w:t>
      </w:r>
      <w:r w:rsidR="00196885">
        <w:rPr>
          <w:rFonts w:ascii="Times New Roman" w:hAnsi="Times New Roman" w:cs="Times New Roman"/>
        </w:rPr>
        <w:t>It</w:t>
      </w:r>
      <w:r>
        <w:rPr>
          <w:rFonts w:ascii="Times New Roman" w:hAnsi="Times New Roman" w:cs="Times New Roman"/>
        </w:rPr>
        <w:t xml:space="preserve"> was</w:t>
      </w:r>
      <w:r w:rsidR="007541A8">
        <w:rPr>
          <w:rFonts w:ascii="Times New Roman" w:hAnsi="Times New Roman" w:cs="Times New Roman"/>
        </w:rPr>
        <w:t xml:space="preserve"> then</w:t>
      </w:r>
      <w:r>
        <w:rPr>
          <w:rFonts w:ascii="Times New Roman" w:hAnsi="Times New Roman" w:cs="Times New Roman"/>
        </w:rPr>
        <w:t xml:space="preserve"> grouped</w:t>
      </w:r>
      <w:r w:rsidR="00266D41">
        <w:rPr>
          <w:rFonts w:ascii="Times New Roman" w:hAnsi="Times New Roman" w:cs="Times New Roman"/>
        </w:rPr>
        <w:t xml:space="preserve"> into 4 intervals</w:t>
      </w:r>
      <w:r w:rsidR="005552DA">
        <w:rPr>
          <w:rFonts w:ascii="Times New Roman" w:hAnsi="Times New Roman" w:cs="Times New Roman"/>
        </w:rPr>
        <w:t>.</w:t>
      </w:r>
      <w:r w:rsidR="00F47A72">
        <w:rPr>
          <w:rFonts w:ascii="Times New Roman" w:hAnsi="Times New Roman" w:cs="Times New Roman"/>
        </w:rPr>
        <w:t xml:space="preserve"> </w:t>
      </w:r>
    </w:p>
    <w:p w14:paraId="162340AD" w14:textId="48204FAE" w:rsidR="005C702F" w:rsidRDefault="009E18A7">
      <w:pPr>
        <w:rPr>
          <w:rFonts w:ascii="Times New Roman" w:hAnsi="Times New Roman" w:cs="Times New Roman"/>
        </w:rPr>
      </w:pPr>
      <w:r>
        <w:rPr>
          <w:rFonts w:ascii="Times New Roman" w:hAnsi="Times New Roman" w:cs="Times New Roman"/>
        </w:rPr>
        <w:t>The data were collected for research purposes and thus it is quite clean. However, t</w:t>
      </w:r>
      <w:r w:rsidR="006C563E">
        <w:rPr>
          <w:rFonts w:ascii="Times New Roman" w:hAnsi="Times New Roman" w:cs="Times New Roman"/>
        </w:rPr>
        <w:t xml:space="preserve">here are missing values in </w:t>
      </w:r>
      <w:r w:rsidR="00BC2FD5">
        <w:rPr>
          <w:rFonts w:ascii="Times New Roman" w:hAnsi="Times New Roman" w:cs="Times New Roman"/>
        </w:rPr>
        <w:t>all</w:t>
      </w:r>
      <w:r w:rsidR="006C563E">
        <w:rPr>
          <w:rFonts w:ascii="Times New Roman" w:hAnsi="Times New Roman" w:cs="Times New Roman"/>
        </w:rPr>
        <w:t xml:space="preserve"> six vital sign variables</w:t>
      </w:r>
      <w:r w:rsidR="00831BAD">
        <w:rPr>
          <w:rFonts w:ascii="Times New Roman" w:hAnsi="Times New Roman" w:cs="Times New Roman"/>
        </w:rPr>
        <w:t xml:space="preserve"> (Figure </w:t>
      </w:r>
      <w:r w:rsidR="00CB27B0">
        <w:rPr>
          <w:rFonts w:ascii="Times New Roman" w:hAnsi="Times New Roman" w:cs="Times New Roman"/>
        </w:rPr>
        <w:t>2</w:t>
      </w:r>
      <w:r w:rsidR="00831BAD">
        <w:rPr>
          <w:rFonts w:ascii="Times New Roman" w:hAnsi="Times New Roman" w:cs="Times New Roman"/>
        </w:rPr>
        <w:t xml:space="preserve">). </w:t>
      </w:r>
      <w:r w:rsidR="006C563E">
        <w:rPr>
          <w:rFonts w:ascii="Times New Roman" w:hAnsi="Times New Roman" w:cs="Times New Roman"/>
        </w:rPr>
        <w:t xml:space="preserve"> </w:t>
      </w:r>
      <w:r w:rsidR="003B33DE">
        <w:rPr>
          <w:rFonts w:ascii="Times New Roman" w:hAnsi="Times New Roman" w:cs="Times New Roman" w:hint="eastAsia"/>
        </w:rPr>
        <w:t>The</w:t>
      </w:r>
      <w:r w:rsidR="003B33DE">
        <w:rPr>
          <w:rFonts w:ascii="Times New Roman" w:hAnsi="Times New Roman" w:cs="Times New Roman"/>
        </w:rPr>
        <w:t xml:space="preserve"> majority of the missing values in the six sign variables are in the same rows</w:t>
      </w:r>
      <w:r w:rsidR="00EA03B2">
        <w:rPr>
          <w:rFonts w:ascii="Times New Roman" w:hAnsi="Times New Roman" w:cs="Times New Roman"/>
        </w:rPr>
        <w:t xml:space="preserve"> (Figure </w:t>
      </w:r>
      <w:r w:rsidR="00CB27B0">
        <w:rPr>
          <w:rFonts w:ascii="Times New Roman" w:hAnsi="Times New Roman" w:cs="Times New Roman"/>
        </w:rPr>
        <w:t>3</w:t>
      </w:r>
      <w:r w:rsidR="00EA03B2">
        <w:rPr>
          <w:rFonts w:ascii="Times New Roman" w:hAnsi="Times New Roman" w:cs="Times New Roman"/>
        </w:rPr>
        <w:t>)</w:t>
      </w:r>
      <w:r w:rsidR="00801187">
        <w:rPr>
          <w:rFonts w:ascii="Times New Roman" w:hAnsi="Times New Roman" w:cs="Times New Roman"/>
        </w:rPr>
        <w:t>, which suggests that</w:t>
      </w:r>
      <w:r w:rsidR="00EE7DAD">
        <w:rPr>
          <w:rFonts w:ascii="Times New Roman" w:hAnsi="Times New Roman" w:cs="Times New Roman"/>
        </w:rPr>
        <w:t xml:space="preserve"> the missingness of one vital sign variable is highly correlated with the missingness of each of the other five. This also suggests that</w:t>
      </w:r>
      <w:r w:rsidR="00801187">
        <w:rPr>
          <w:rFonts w:ascii="Times New Roman" w:hAnsi="Times New Roman" w:cs="Times New Roman"/>
        </w:rPr>
        <w:t xml:space="preserve"> the</w:t>
      </w:r>
      <w:r w:rsidR="00EE7DAD">
        <w:rPr>
          <w:rFonts w:ascii="Times New Roman" w:hAnsi="Times New Roman" w:cs="Times New Roman"/>
        </w:rPr>
        <w:t xml:space="preserve"> missing values</w:t>
      </w:r>
      <w:r w:rsidR="00801187">
        <w:rPr>
          <w:rFonts w:ascii="Times New Roman" w:hAnsi="Times New Roman" w:cs="Times New Roman"/>
        </w:rPr>
        <w:t xml:space="preserve"> </w:t>
      </w:r>
      <w:r w:rsidR="00801187">
        <w:rPr>
          <w:rFonts w:ascii="Times New Roman" w:hAnsi="Times New Roman" w:cs="Times New Roman"/>
        </w:rPr>
        <w:lastRenderedPageBreak/>
        <w:t>are not Missing Completely At Random (MCAR), nor Missing At Random (MAR)</w:t>
      </w:r>
      <w:r w:rsidR="009A3894">
        <w:rPr>
          <w:rFonts w:ascii="Times New Roman" w:hAnsi="Times New Roman" w:cs="Times New Roman"/>
        </w:rPr>
        <w:t xml:space="preserve">. </w:t>
      </w:r>
      <w:r w:rsidR="00801187">
        <w:rPr>
          <w:rFonts w:ascii="Times New Roman" w:hAnsi="Times New Roman" w:cs="Times New Roman"/>
        </w:rPr>
        <w:t>It is reasonable to assume that the missing values are from the patients who were not required to take the measurements.</w:t>
      </w:r>
      <w:r w:rsidR="00C81EAF">
        <w:rPr>
          <w:rFonts w:ascii="Times New Roman" w:hAnsi="Times New Roman" w:cs="Times New Roman"/>
        </w:rPr>
        <w:t xml:space="preserve"> Since they are not missing at random, it is not suitable to impute these values or to delete them because they may carry some information that may influence the mortality risk. Therefore, we will keep the missing values, and code them</w:t>
      </w:r>
      <w:r w:rsidR="0063611D">
        <w:rPr>
          <w:rFonts w:ascii="Times New Roman" w:hAnsi="Times New Roman" w:cs="Times New Roman"/>
        </w:rPr>
        <w:t xml:space="preserve"> as “Missing”, and code the non-missing values as “Low”, “Normal”, and “High”, where the “Normal” values are based on domain knowledge.</w:t>
      </w:r>
    </w:p>
    <w:p w14:paraId="643FE91B" w14:textId="01DEE9C6" w:rsidR="00EA03B2" w:rsidRDefault="00EA03B2" w:rsidP="00EA03B2">
      <w:pPr>
        <w:jc w:val="center"/>
        <w:rPr>
          <w:rFonts w:ascii="Times New Roman" w:hAnsi="Times New Roman" w:cs="Times New Roman"/>
        </w:rPr>
      </w:pPr>
      <w:r w:rsidRPr="00EA03B2">
        <w:rPr>
          <w:rFonts w:ascii="Times New Roman" w:hAnsi="Times New Roman" w:cs="Times New Roman"/>
          <w:noProof/>
        </w:rPr>
        <w:drawing>
          <wp:inline distT="0" distB="0" distL="0" distR="0" wp14:anchorId="4D491B40" wp14:editId="2F64BC9E">
            <wp:extent cx="3181350" cy="1794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135" cy="1802207"/>
                    </a:xfrm>
                    <a:prstGeom prst="rect">
                      <a:avLst/>
                    </a:prstGeom>
                    <a:noFill/>
                    <a:ln>
                      <a:noFill/>
                    </a:ln>
                  </pic:spPr>
                </pic:pic>
              </a:graphicData>
            </a:graphic>
          </wp:inline>
        </w:drawing>
      </w:r>
    </w:p>
    <w:p w14:paraId="5FBAF69E" w14:textId="655960E7" w:rsidR="00831BAD" w:rsidRDefault="00831BAD" w:rsidP="00EA03B2">
      <w:pPr>
        <w:jc w:val="center"/>
        <w:rPr>
          <w:rFonts w:ascii="Times New Roman" w:hAnsi="Times New Roman" w:cs="Times New Roman"/>
        </w:rPr>
      </w:pPr>
      <w:r>
        <w:rPr>
          <w:rFonts w:ascii="Times New Roman" w:hAnsi="Times New Roman" w:cs="Times New Roman"/>
        </w:rPr>
        <w:t xml:space="preserve">Figure </w:t>
      </w:r>
      <w:r w:rsidR="00CB27B0">
        <w:rPr>
          <w:rFonts w:ascii="Times New Roman" w:hAnsi="Times New Roman" w:cs="Times New Roman"/>
        </w:rPr>
        <w:t>2</w:t>
      </w:r>
      <w:r>
        <w:rPr>
          <w:rFonts w:ascii="Times New Roman" w:hAnsi="Times New Roman" w:cs="Times New Roman"/>
        </w:rPr>
        <w:t>. Missing values in vital sign variables</w:t>
      </w:r>
    </w:p>
    <w:p w14:paraId="30E769F7" w14:textId="77777777" w:rsidR="00BA6A90" w:rsidRDefault="00BA6A90" w:rsidP="00EA03B2">
      <w:pPr>
        <w:jc w:val="center"/>
        <w:rPr>
          <w:rFonts w:ascii="Times New Roman" w:hAnsi="Times New Roman" w:cs="Times New Roman"/>
        </w:rPr>
      </w:pPr>
    </w:p>
    <w:p w14:paraId="029EF026" w14:textId="6BBADC98" w:rsidR="00831BAD" w:rsidRDefault="00831BAD" w:rsidP="00EA03B2">
      <w:pPr>
        <w:jc w:val="center"/>
        <w:rPr>
          <w:rFonts w:ascii="Times New Roman" w:hAnsi="Times New Roman" w:cs="Times New Roman"/>
        </w:rPr>
      </w:pPr>
      <w:r w:rsidRPr="00831BAD">
        <w:rPr>
          <w:rFonts w:ascii="Times New Roman" w:hAnsi="Times New Roman" w:cs="Times New Roman"/>
          <w:noProof/>
        </w:rPr>
        <w:drawing>
          <wp:inline distT="0" distB="0" distL="0" distR="0" wp14:anchorId="2FB0A727" wp14:editId="54590F37">
            <wp:extent cx="350520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6942" cy="2424773"/>
                    </a:xfrm>
                    <a:prstGeom prst="rect">
                      <a:avLst/>
                    </a:prstGeom>
                    <a:noFill/>
                    <a:ln>
                      <a:noFill/>
                    </a:ln>
                  </pic:spPr>
                </pic:pic>
              </a:graphicData>
            </a:graphic>
          </wp:inline>
        </w:drawing>
      </w:r>
    </w:p>
    <w:p w14:paraId="7AAD9898" w14:textId="03B9395F" w:rsidR="00831BAD" w:rsidRDefault="00831BAD" w:rsidP="00EA03B2">
      <w:pPr>
        <w:jc w:val="center"/>
        <w:rPr>
          <w:rFonts w:ascii="Times New Roman" w:hAnsi="Times New Roman" w:cs="Times New Roman"/>
        </w:rPr>
      </w:pPr>
      <w:r>
        <w:rPr>
          <w:rFonts w:ascii="Times New Roman" w:hAnsi="Times New Roman" w:cs="Times New Roman"/>
        </w:rPr>
        <w:t xml:space="preserve">Figure </w:t>
      </w:r>
      <w:r w:rsidR="00CB27B0">
        <w:rPr>
          <w:rFonts w:ascii="Times New Roman" w:hAnsi="Times New Roman" w:cs="Times New Roman"/>
        </w:rPr>
        <w:t>3</w:t>
      </w:r>
      <w:r>
        <w:rPr>
          <w:rFonts w:ascii="Times New Roman" w:hAnsi="Times New Roman" w:cs="Times New Roman"/>
        </w:rPr>
        <w:t>. Location of missing values in vital sign variables</w:t>
      </w:r>
    </w:p>
    <w:p w14:paraId="13FEFE20" w14:textId="2845F34D" w:rsidR="00566B76" w:rsidRDefault="00566B76" w:rsidP="005C61DA">
      <w:pPr>
        <w:spacing w:before="240"/>
        <w:rPr>
          <w:rFonts w:ascii="Times New Roman" w:hAnsi="Times New Roman" w:cs="Times New Roman"/>
        </w:rPr>
      </w:pPr>
      <w:r>
        <w:rPr>
          <w:rFonts w:ascii="Times New Roman" w:hAnsi="Times New Roman" w:cs="Times New Roman"/>
        </w:rPr>
        <w:t xml:space="preserve">There are some outliers in each of the six vital sign variables. </w:t>
      </w:r>
      <w:r w:rsidR="008B4E4B">
        <w:rPr>
          <w:rFonts w:ascii="Times New Roman" w:hAnsi="Times New Roman" w:cs="Times New Roman" w:hint="eastAsia"/>
        </w:rPr>
        <w:t>They</w:t>
      </w:r>
      <w:r w:rsidR="008B4E4B">
        <w:rPr>
          <w:rFonts w:ascii="Times New Roman" w:hAnsi="Times New Roman" w:cs="Times New Roman"/>
        </w:rPr>
        <w:t xml:space="preserve"> are detected by domain knowledge instead of statistical methods. </w:t>
      </w:r>
      <w:r w:rsidR="00227B6A">
        <w:rPr>
          <w:rFonts w:ascii="Times New Roman" w:hAnsi="Times New Roman" w:cs="Times New Roman"/>
        </w:rPr>
        <w:t>This is because there is a pre-defined normal range for each of the six vital sign measurements. The values that are below or above the normal range may still be valid values</w:t>
      </w:r>
      <w:r w:rsidR="00EA4130">
        <w:rPr>
          <w:rFonts w:ascii="Times New Roman" w:hAnsi="Times New Roman" w:cs="Times New Roman"/>
        </w:rPr>
        <w:t xml:space="preserve"> since many patients especially critically ill patients may have an abnormal vital sign measurement</w:t>
      </w:r>
      <w:r w:rsidR="00227B6A">
        <w:rPr>
          <w:rFonts w:ascii="Times New Roman" w:hAnsi="Times New Roman" w:cs="Times New Roman"/>
        </w:rPr>
        <w:t xml:space="preserve">. </w:t>
      </w:r>
      <w:r w:rsidR="00E03308">
        <w:rPr>
          <w:rFonts w:ascii="Times New Roman" w:hAnsi="Times New Roman" w:cs="Times New Roman"/>
        </w:rPr>
        <w:t xml:space="preserve">However, those </w:t>
      </w:r>
      <w:r w:rsidR="00227B6A">
        <w:rPr>
          <w:rFonts w:ascii="Times New Roman" w:hAnsi="Times New Roman" w:cs="Times New Roman"/>
        </w:rPr>
        <w:t>valid values may be identified as outliers with statistical methods.</w:t>
      </w:r>
      <w:r w:rsidR="009B2AD8">
        <w:rPr>
          <w:rFonts w:ascii="Times New Roman" w:hAnsi="Times New Roman" w:cs="Times New Roman"/>
        </w:rPr>
        <w:t xml:space="preserve"> </w:t>
      </w:r>
      <w:r w:rsidR="00DF74AF">
        <w:rPr>
          <w:rFonts w:ascii="Times New Roman" w:hAnsi="Times New Roman" w:cs="Times New Roman"/>
        </w:rPr>
        <w:t>While u</w:t>
      </w:r>
      <w:r w:rsidR="00E03308">
        <w:rPr>
          <w:rFonts w:ascii="Times New Roman" w:hAnsi="Times New Roman" w:cs="Times New Roman"/>
        </w:rPr>
        <w:t>sing domain knowledge, we can precisely identify the values that are erroneous</w:t>
      </w:r>
      <w:r w:rsidR="009B2AD8">
        <w:rPr>
          <w:rFonts w:ascii="Times New Roman" w:hAnsi="Times New Roman" w:cs="Times New Roman"/>
        </w:rPr>
        <w:t>.</w:t>
      </w:r>
      <w:r w:rsidR="00227B6A">
        <w:rPr>
          <w:rFonts w:ascii="Times New Roman" w:hAnsi="Times New Roman" w:cs="Times New Roman"/>
        </w:rPr>
        <w:t xml:space="preserve"> </w:t>
      </w:r>
      <w:r>
        <w:rPr>
          <w:rFonts w:ascii="Times New Roman" w:hAnsi="Times New Roman" w:cs="Times New Roman"/>
        </w:rPr>
        <w:t>For example, negative or 0 body temperature, 0 or over 100 oxygen saturation, 0 blood pressure or heart rate</w:t>
      </w:r>
      <w:r w:rsidR="0078752C">
        <w:rPr>
          <w:rFonts w:ascii="Times New Roman" w:hAnsi="Times New Roman" w:cs="Times New Roman"/>
        </w:rPr>
        <w:t xml:space="preserve"> would be considered ou</w:t>
      </w:r>
      <w:r w:rsidR="0078752C" w:rsidRPr="005C61DA">
        <w:rPr>
          <w:rFonts w:ascii="Times New Roman" w:hAnsi="Times New Roman" w:cs="Times New Roman"/>
        </w:rPr>
        <w:t>tliers</w:t>
      </w:r>
      <w:r w:rsidRPr="005C61DA">
        <w:rPr>
          <w:rFonts w:ascii="Times New Roman" w:hAnsi="Times New Roman" w:cs="Times New Roman"/>
        </w:rPr>
        <w:t xml:space="preserve">. These </w:t>
      </w:r>
      <w:r w:rsidR="007465A3">
        <w:rPr>
          <w:rFonts w:ascii="Times New Roman" w:hAnsi="Times New Roman" w:cs="Times New Roman"/>
        </w:rPr>
        <w:t xml:space="preserve">erroneous </w:t>
      </w:r>
      <w:r w:rsidRPr="005C61DA">
        <w:rPr>
          <w:rFonts w:ascii="Times New Roman" w:hAnsi="Times New Roman" w:cs="Times New Roman"/>
        </w:rPr>
        <w:t>outliers are</w:t>
      </w:r>
      <w:r w:rsidR="005C61DA" w:rsidRPr="005C61DA">
        <w:rPr>
          <w:rFonts w:ascii="Times New Roman" w:hAnsi="Times New Roman" w:cs="Times New Roman"/>
        </w:rPr>
        <w:t xml:space="preserve"> temporarily</w:t>
      </w:r>
      <w:r w:rsidRPr="005C61DA">
        <w:rPr>
          <w:rFonts w:ascii="Times New Roman" w:hAnsi="Times New Roman" w:cs="Times New Roman"/>
        </w:rPr>
        <w:t xml:space="preserve"> treated as missing values and grouped in the Missing category.</w:t>
      </w:r>
      <w:r w:rsidR="005C61DA">
        <w:rPr>
          <w:rFonts w:ascii="Times New Roman" w:hAnsi="Times New Roman" w:cs="Times New Roman"/>
        </w:rPr>
        <w:t xml:space="preserve"> Other outlier treatment options will be explored in future work.</w:t>
      </w:r>
    </w:p>
    <w:p w14:paraId="35CDE184" w14:textId="4114AD78" w:rsidR="0026315D" w:rsidRDefault="00194B0D" w:rsidP="0026315D">
      <w:pPr>
        <w:rPr>
          <w:rFonts w:ascii="Times New Roman" w:hAnsi="Times New Roman" w:cs="Times New Roman"/>
          <w:b/>
          <w:bCs/>
        </w:rPr>
      </w:pPr>
      <w:r>
        <w:rPr>
          <w:rFonts w:ascii="Times New Roman" w:hAnsi="Times New Roman" w:cs="Times New Roman"/>
          <w:b/>
          <w:bCs/>
        </w:rPr>
        <w:lastRenderedPageBreak/>
        <w:t>Method</w:t>
      </w:r>
      <w:r w:rsidR="00506738">
        <w:rPr>
          <w:rFonts w:ascii="Times New Roman" w:hAnsi="Times New Roman" w:cs="Times New Roman"/>
          <w:b/>
          <w:bCs/>
        </w:rPr>
        <w:t>s</w:t>
      </w:r>
    </w:p>
    <w:p w14:paraId="70CD2731" w14:textId="1116C475" w:rsidR="000E3FA7" w:rsidRDefault="008124FB" w:rsidP="008124FB">
      <w:pPr>
        <w:rPr>
          <w:rFonts w:ascii="Times New Roman" w:hAnsi="Times New Roman" w:cs="Times New Roman"/>
        </w:rPr>
      </w:pPr>
      <w:r>
        <w:rPr>
          <w:rFonts w:ascii="Times New Roman" w:hAnsi="Times New Roman" w:cs="Times New Roman"/>
        </w:rPr>
        <w:t xml:space="preserve">This is a typical survival analysis problem where the beginning of the study period is the time when the patient is discharged from hospital, and the end of the study period is 90 days after discharge. Patients who died after 90 days of discharge and those who survived the entire study period were censored. The study period was defined to be 90 days because the patients who were admitted to the hospital after 2008 were followed up for a maximum of 90 days after being discharged from the hospital. Although those who were admitted before 2008 were followed up for a maximum of 4 years after discharge, to make it consistent for all patients, we take the shorter follow-up period of the two as the study period. </w:t>
      </w:r>
      <w:r w:rsidR="000E3FA7">
        <w:rPr>
          <w:rFonts w:ascii="Times New Roman" w:hAnsi="Times New Roman" w:cs="Times New Roman"/>
        </w:rPr>
        <w:t xml:space="preserve">Two key methods that were employed in this study are the Cox Proportional Hazards model for survival analysis, and the comorbidity index scores to enhance the model results. </w:t>
      </w:r>
    </w:p>
    <w:p w14:paraId="528DC42D" w14:textId="246C594B" w:rsidR="008124FB" w:rsidRDefault="008124FB" w:rsidP="008124FB">
      <w:pPr>
        <w:rPr>
          <w:rFonts w:ascii="Times New Roman" w:hAnsi="Times New Roman" w:cs="Times New Roman"/>
        </w:rPr>
      </w:pPr>
      <w:r>
        <w:rPr>
          <w:rFonts w:ascii="Times New Roman" w:hAnsi="Times New Roman" w:cs="Times New Roman"/>
        </w:rPr>
        <w:t xml:space="preserve">The Cox Proportional Hazards model was used to perform the survival analysis because this model allows multiple variables to be analyzed for their effects on the hazard (i.e. the probability of dying) [statistics review]. The Cox Proportional Hazards model from the </w:t>
      </w:r>
      <w:r w:rsidRPr="00C27AFC">
        <w:rPr>
          <w:rFonts w:ascii="Times New Roman" w:hAnsi="Times New Roman" w:cs="Times New Roman"/>
          <w:b/>
          <w:bCs/>
          <w:i/>
          <w:iCs/>
        </w:rPr>
        <w:t>survival</w:t>
      </w:r>
      <w:r>
        <w:rPr>
          <w:rFonts w:ascii="Times New Roman" w:hAnsi="Times New Roman" w:cs="Times New Roman"/>
        </w:rPr>
        <w:t xml:space="preserve"> package in R requires an Event variable and a Duration (or Time) variable. The Event variable has binary values with 1 indicating death within 90 days of discharge, and 0 indicating survival at 9</w:t>
      </w:r>
      <w:r w:rsidR="00E00E1F">
        <w:rPr>
          <w:rFonts w:ascii="Times New Roman" w:hAnsi="Times New Roman" w:cs="Times New Roman"/>
        </w:rPr>
        <w:t>1</w:t>
      </w:r>
      <w:r w:rsidR="00E00E1F">
        <w:rPr>
          <w:rFonts w:ascii="Times New Roman" w:hAnsi="Times New Roman" w:cs="Times New Roman"/>
          <w:vertAlign w:val="superscript"/>
        </w:rPr>
        <w:t>st</w:t>
      </w:r>
      <w:r>
        <w:rPr>
          <w:rFonts w:ascii="Times New Roman" w:hAnsi="Times New Roman" w:cs="Times New Roman"/>
        </w:rPr>
        <w:t xml:space="preserve"> day after discharge. The Duration variable contains the number of days between discharge and death. If a patient survived the follow up period, the duration is coded as 300 days. </w:t>
      </w:r>
    </w:p>
    <w:p w14:paraId="5B525DDC" w14:textId="41C10512" w:rsidR="00535B0B" w:rsidRDefault="008124FB">
      <w:pPr>
        <w:rPr>
          <w:rFonts w:ascii="Times New Roman" w:hAnsi="Times New Roman" w:cs="Times New Roman"/>
        </w:rPr>
      </w:pPr>
      <w:r>
        <w:rPr>
          <w:rFonts w:ascii="Times New Roman" w:hAnsi="Times New Roman" w:cs="Times New Roman"/>
        </w:rPr>
        <w:t>Comorbidity index</w:t>
      </w:r>
      <w:r w:rsidR="00B4578C">
        <w:rPr>
          <w:rFonts w:ascii="Times New Roman" w:hAnsi="Times New Roman" w:cs="Times New Roman"/>
        </w:rPr>
        <w:t xml:space="preserve"> is</w:t>
      </w:r>
      <w:r>
        <w:rPr>
          <w:rFonts w:ascii="Times New Roman" w:hAnsi="Times New Roman" w:cs="Times New Roman"/>
        </w:rPr>
        <w:t xml:space="preserve"> often used to assess the impact of comorbid diseases on a certain health condition </w:t>
      </w:r>
      <w:r w:rsidRPr="005947DD">
        <w:rPr>
          <w:rFonts w:ascii="Times New Roman" w:hAnsi="Times New Roman" w:cs="Times New Roman"/>
          <w:vertAlign w:val="superscript"/>
        </w:rPr>
        <w:t>[</w:t>
      </w:r>
      <w:r w:rsidR="005947DD" w:rsidRPr="005947DD">
        <w:rPr>
          <w:rFonts w:ascii="Times New Roman" w:hAnsi="Times New Roman" w:cs="Times New Roman"/>
          <w:vertAlign w:val="superscript"/>
        </w:rPr>
        <w:t>2</w:t>
      </w:r>
      <w:r w:rsidRPr="005947DD">
        <w:rPr>
          <w:rFonts w:ascii="Times New Roman" w:hAnsi="Times New Roman" w:cs="Times New Roman"/>
          <w:vertAlign w:val="superscript"/>
        </w:rPr>
        <w:t>]</w:t>
      </w:r>
      <w:r>
        <w:rPr>
          <w:rFonts w:ascii="Times New Roman" w:hAnsi="Times New Roman" w:cs="Times New Roman"/>
        </w:rPr>
        <w:t xml:space="preserve">, or to analyze mortality of a certain disease. They are derived from the </w:t>
      </w:r>
      <w:r w:rsidRPr="00991ABF">
        <w:rPr>
          <w:rFonts w:ascii="Times New Roman" w:hAnsi="Times New Roman" w:cs="Times New Roman"/>
        </w:rPr>
        <w:t>ICD9</w:t>
      </w:r>
      <w:r w:rsidR="00AA4537">
        <w:rPr>
          <w:rFonts w:ascii="Times New Roman" w:hAnsi="Times New Roman" w:cs="Times New Roman"/>
        </w:rPr>
        <w:t xml:space="preserve"> or ICD10</w:t>
      </w:r>
      <w:r>
        <w:rPr>
          <w:rFonts w:ascii="Times New Roman" w:hAnsi="Times New Roman" w:cs="Times New Roman"/>
        </w:rPr>
        <w:t xml:space="preserve"> (</w:t>
      </w:r>
      <w:r w:rsidRPr="00991ABF">
        <w:rPr>
          <w:rFonts w:ascii="Times New Roman" w:hAnsi="Times New Roman" w:cs="Times New Roman"/>
        </w:rPr>
        <w:t>International Statistical Classification of Diseases</w:t>
      </w:r>
      <w:r>
        <w:rPr>
          <w:rFonts w:ascii="Times New Roman" w:hAnsi="Times New Roman" w:cs="Times New Roman"/>
        </w:rPr>
        <w:t xml:space="preserve">) diagnosis code data using the </w:t>
      </w:r>
      <w:r w:rsidRPr="00DF22E3">
        <w:rPr>
          <w:rFonts w:ascii="Times New Roman" w:hAnsi="Times New Roman" w:cs="Times New Roman"/>
          <w:b/>
          <w:bCs/>
          <w:i/>
          <w:iCs/>
        </w:rPr>
        <w:t>comorbidity</w:t>
      </w:r>
      <w:r>
        <w:rPr>
          <w:rFonts w:ascii="Times New Roman" w:hAnsi="Times New Roman" w:cs="Times New Roman"/>
        </w:rPr>
        <w:t xml:space="preserve"> package in R. The </w:t>
      </w:r>
      <w:r w:rsidRPr="0054632F">
        <w:rPr>
          <w:rFonts w:ascii="Times New Roman" w:hAnsi="Times New Roman" w:cs="Times New Roman"/>
        </w:rPr>
        <w:t>comorbidity</w:t>
      </w:r>
      <w:r>
        <w:rPr>
          <w:rFonts w:ascii="Times New Roman" w:hAnsi="Times New Roman" w:cs="Times New Roman"/>
        </w:rPr>
        <w:t xml:space="preserve"> function in this package produces </w:t>
      </w:r>
      <w:r w:rsidR="00032C9D">
        <w:rPr>
          <w:rFonts w:ascii="Times New Roman" w:hAnsi="Times New Roman" w:cs="Times New Roman"/>
        </w:rPr>
        <w:t>variables</w:t>
      </w:r>
      <w:r>
        <w:rPr>
          <w:rFonts w:ascii="Times New Roman" w:hAnsi="Times New Roman" w:cs="Times New Roman"/>
        </w:rPr>
        <w:t xml:space="preserve"> relative to each comorbidity domain, comorbidity score, weighted comorbidity score, and the categorization of such scores with one row per individual. There are two score options: </w:t>
      </w:r>
      <w:r w:rsidRPr="00BE4EDA">
        <w:rPr>
          <w:rFonts w:ascii="Times New Roman" w:hAnsi="Times New Roman" w:cs="Times New Roman"/>
        </w:rPr>
        <w:t>the weighted Charlson score (charlson) and the weighted Elixhauser score (elixhauser)</w:t>
      </w:r>
      <w:r>
        <w:rPr>
          <w:rFonts w:ascii="Times New Roman" w:hAnsi="Times New Roman" w:cs="Times New Roman"/>
        </w:rPr>
        <w:t>. The weighted Charlson score is used in this study.</w:t>
      </w:r>
      <w:r w:rsidR="000F1637">
        <w:rPr>
          <w:rFonts w:ascii="Times New Roman" w:hAnsi="Times New Roman" w:cs="Times New Roman"/>
        </w:rPr>
        <w:t xml:space="preserve"> The comorbidity categorization data and each of the comorbidity scores were </w:t>
      </w:r>
      <w:r w:rsidR="0036071F">
        <w:rPr>
          <w:rFonts w:ascii="Times New Roman" w:hAnsi="Times New Roman" w:cs="Times New Roman"/>
        </w:rPr>
        <w:t>joined with</w:t>
      </w:r>
      <w:r w:rsidR="000F1637">
        <w:rPr>
          <w:rFonts w:ascii="Times New Roman" w:hAnsi="Times New Roman" w:cs="Times New Roman"/>
        </w:rPr>
        <w:t xml:space="preserve"> the other variables </w:t>
      </w:r>
      <w:r w:rsidR="008D4DD6">
        <w:rPr>
          <w:rFonts w:ascii="Times New Roman" w:hAnsi="Times New Roman" w:cs="Times New Roman"/>
        </w:rPr>
        <w:t xml:space="preserve">for the survival analysis </w:t>
      </w:r>
      <w:r w:rsidR="000F1637">
        <w:rPr>
          <w:rFonts w:ascii="Times New Roman" w:hAnsi="Times New Roman" w:cs="Times New Roman"/>
        </w:rPr>
        <w:t>separately to investigate their effect independently to avoid correlation.</w:t>
      </w:r>
    </w:p>
    <w:p w14:paraId="5515D18B" w14:textId="77777777" w:rsidR="00506738" w:rsidRDefault="00506738">
      <w:pPr>
        <w:rPr>
          <w:rFonts w:ascii="Times New Roman" w:hAnsi="Times New Roman" w:cs="Times New Roman"/>
        </w:rPr>
      </w:pPr>
    </w:p>
    <w:p w14:paraId="30C0D321" w14:textId="61C760FD" w:rsidR="00535B0B" w:rsidRPr="00535B0B" w:rsidRDefault="00535B0B">
      <w:pPr>
        <w:rPr>
          <w:rFonts w:ascii="Times New Roman" w:hAnsi="Times New Roman" w:cs="Times New Roman"/>
          <w:b/>
          <w:bCs/>
        </w:rPr>
      </w:pPr>
      <w:r w:rsidRPr="00535B0B">
        <w:rPr>
          <w:rFonts w:ascii="Times New Roman" w:hAnsi="Times New Roman" w:cs="Times New Roman"/>
          <w:b/>
          <w:bCs/>
        </w:rPr>
        <w:t>Results</w:t>
      </w:r>
    </w:p>
    <w:p w14:paraId="356745BE" w14:textId="158ED604" w:rsidR="003E36D1" w:rsidRDefault="006E50DB">
      <w:pPr>
        <w:rPr>
          <w:rFonts w:ascii="Times New Roman" w:hAnsi="Times New Roman" w:cs="Times New Roman"/>
        </w:rPr>
      </w:pPr>
      <w:r>
        <w:rPr>
          <w:rFonts w:ascii="Times New Roman" w:hAnsi="Times New Roman" w:cs="Times New Roman"/>
        </w:rPr>
        <w:t xml:space="preserve">Concordance index is a measure of performance of survival analysis models. </w:t>
      </w:r>
      <w:r w:rsidR="00535B0B">
        <w:rPr>
          <w:rFonts w:ascii="Times New Roman" w:hAnsi="Times New Roman" w:cs="Times New Roman"/>
        </w:rPr>
        <w:t xml:space="preserve">The </w:t>
      </w:r>
      <w:r w:rsidR="00A90EF8">
        <w:rPr>
          <w:rFonts w:ascii="Times New Roman" w:hAnsi="Times New Roman" w:cs="Times New Roman"/>
        </w:rPr>
        <w:t xml:space="preserve">concordance </w:t>
      </w:r>
      <w:r>
        <w:rPr>
          <w:rFonts w:ascii="Times New Roman" w:hAnsi="Times New Roman" w:cs="Times New Roman"/>
        </w:rPr>
        <w:t>index</w:t>
      </w:r>
      <w:r w:rsidR="00A90EF8">
        <w:rPr>
          <w:rFonts w:ascii="Times New Roman" w:hAnsi="Times New Roman" w:cs="Times New Roman"/>
        </w:rPr>
        <w:t xml:space="preserve"> of the final </w:t>
      </w:r>
      <w:r w:rsidR="00AB461C">
        <w:rPr>
          <w:rFonts w:ascii="Times New Roman" w:hAnsi="Times New Roman" w:cs="Times New Roman"/>
        </w:rPr>
        <w:t>Cox Proportional Hazard</w:t>
      </w:r>
      <w:r w:rsidR="00C351A9">
        <w:rPr>
          <w:rFonts w:ascii="Times New Roman" w:hAnsi="Times New Roman" w:cs="Times New Roman"/>
        </w:rPr>
        <w:t>s</w:t>
      </w:r>
      <w:r w:rsidR="00AB461C">
        <w:rPr>
          <w:rFonts w:ascii="Times New Roman" w:hAnsi="Times New Roman" w:cs="Times New Roman"/>
        </w:rPr>
        <w:t xml:space="preserve"> </w:t>
      </w:r>
      <w:r w:rsidR="00A90EF8">
        <w:rPr>
          <w:rFonts w:ascii="Times New Roman" w:hAnsi="Times New Roman" w:cs="Times New Roman"/>
        </w:rPr>
        <w:t xml:space="preserve">model with all significant variables is 0.829. </w:t>
      </w:r>
      <w:r w:rsidR="001C4E86">
        <w:rPr>
          <w:rFonts w:ascii="Times New Roman" w:hAnsi="Times New Roman" w:cs="Times New Roman"/>
        </w:rPr>
        <w:t>Table 1 shows the covariates</w:t>
      </w:r>
      <w:r w:rsidR="00232D68">
        <w:rPr>
          <w:rFonts w:ascii="Times New Roman" w:hAnsi="Times New Roman" w:cs="Times New Roman"/>
        </w:rPr>
        <w:t xml:space="preserve"> (and their levels if they are categorical)</w:t>
      </w:r>
      <w:r w:rsidR="001C4E86">
        <w:rPr>
          <w:rFonts w:ascii="Times New Roman" w:hAnsi="Times New Roman" w:cs="Times New Roman"/>
        </w:rPr>
        <w:t xml:space="preserve">, their sample sizes, hazard ratios (and </w:t>
      </w:r>
      <w:r w:rsidR="00B66925">
        <w:rPr>
          <w:rFonts w:ascii="Times New Roman" w:hAnsi="Times New Roman" w:cs="Times New Roman"/>
        </w:rPr>
        <w:t xml:space="preserve">the </w:t>
      </w:r>
      <w:r w:rsidR="001C4E86">
        <w:rPr>
          <w:rFonts w:ascii="Times New Roman" w:hAnsi="Times New Roman" w:cs="Times New Roman"/>
        </w:rPr>
        <w:t>confidence intervals</w:t>
      </w:r>
      <w:r w:rsidR="00B66925">
        <w:rPr>
          <w:rFonts w:ascii="Times New Roman" w:hAnsi="Times New Roman" w:cs="Times New Roman"/>
        </w:rPr>
        <w:t xml:space="preserve"> of the hazard ratios</w:t>
      </w:r>
      <w:r w:rsidR="001C4E86">
        <w:rPr>
          <w:rFonts w:ascii="Times New Roman" w:hAnsi="Times New Roman" w:cs="Times New Roman"/>
        </w:rPr>
        <w:t xml:space="preserve"> in the parentheses), and the p-values. The hazard ratios are the exponentiated coefficients of the Cox Proportional Hazards model. </w:t>
      </w:r>
      <w:r w:rsidR="000C52C7">
        <w:rPr>
          <w:rFonts w:ascii="Times New Roman" w:hAnsi="Times New Roman" w:cs="Times New Roman"/>
        </w:rPr>
        <w:t>The black squares and the</w:t>
      </w:r>
      <w:r w:rsidR="00384882">
        <w:rPr>
          <w:rFonts w:ascii="Times New Roman" w:hAnsi="Times New Roman" w:cs="Times New Roman"/>
        </w:rPr>
        <w:t xml:space="preserve"> horizontal</w:t>
      </w:r>
      <w:r w:rsidR="000C52C7">
        <w:rPr>
          <w:rFonts w:ascii="Times New Roman" w:hAnsi="Times New Roman" w:cs="Times New Roman"/>
        </w:rPr>
        <w:t xml:space="preserve"> lines </w:t>
      </w:r>
      <w:r w:rsidR="00232D68">
        <w:rPr>
          <w:rFonts w:ascii="Times New Roman" w:hAnsi="Times New Roman" w:cs="Times New Roman"/>
        </w:rPr>
        <w:t xml:space="preserve">that </w:t>
      </w:r>
      <w:r w:rsidR="000C52C7">
        <w:rPr>
          <w:rFonts w:ascii="Times New Roman" w:hAnsi="Times New Roman" w:cs="Times New Roman"/>
        </w:rPr>
        <w:t xml:space="preserve">run through them are </w:t>
      </w:r>
      <w:r w:rsidR="00232D68">
        <w:rPr>
          <w:rFonts w:ascii="Times New Roman" w:hAnsi="Times New Roman" w:cs="Times New Roman"/>
        </w:rPr>
        <w:t>a graph visualization</w:t>
      </w:r>
      <w:r w:rsidR="000C52C7">
        <w:rPr>
          <w:rFonts w:ascii="Times New Roman" w:hAnsi="Times New Roman" w:cs="Times New Roman"/>
        </w:rPr>
        <w:t xml:space="preserve"> of the hazard ratios and their confidence intervals.</w:t>
      </w:r>
      <w:r w:rsidR="002E1304">
        <w:rPr>
          <w:rFonts w:ascii="Times New Roman" w:hAnsi="Times New Roman" w:cs="Times New Roman"/>
        </w:rPr>
        <w:t xml:space="preserve"> The dashed vertical line represents the hazard ratio of 1.</w:t>
      </w:r>
      <w:r w:rsidR="000C52C7">
        <w:rPr>
          <w:rFonts w:ascii="Times New Roman" w:hAnsi="Times New Roman" w:cs="Times New Roman"/>
        </w:rPr>
        <w:t xml:space="preserve"> </w:t>
      </w:r>
      <w:r w:rsidR="00384882">
        <w:rPr>
          <w:rFonts w:ascii="Times New Roman" w:hAnsi="Times New Roman" w:cs="Times New Roman"/>
        </w:rPr>
        <w:t xml:space="preserve">Those that have the confidence interval line completely on the left side or </w:t>
      </w:r>
      <w:r w:rsidR="00DC0855">
        <w:rPr>
          <w:rFonts w:ascii="Times New Roman" w:hAnsi="Times New Roman" w:cs="Times New Roman"/>
        </w:rPr>
        <w:t xml:space="preserve">completely </w:t>
      </w:r>
      <w:r w:rsidR="00384882">
        <w:rPr>
          <w:rFonts w:ascii="Times New Roman" w:hAnsi="Times New Roman" w:cs="Times New Roman"/>
        </w:rPr>
        <w:t>on the right side of the dashed vertical line (</w:t>
      </w:r>
      <w:r w:rsidR="00232D68">
        <w:rPr>
          <w:rFonts w:ascii="Times New Roman" w:hAnsi="Times New Roman" w:cs="Times New Roman"/>
        </w:rPr>
        <w:t xml:space="preserve">i.e. </w:t>
      </w:r>
      <w:r w:rsidR="00384882">
        <w:rPr>
          <w:rFonts w:ascii="Times New Roman" w:hAnsi="Times New Roman" w:cs="Times New Roman"/>
        </w:rPr>
        <w:t>not crossing the vertical line) are significantly different from their base lines.</w:t>
      </w:r>
      <w:r w:rsidR="00364F3B">
        <w:rPr>
          <w:rFonts w:ascii="Times New Roman" w:hAnsi="Times New Roman" w:cs="Times New Roman"/>
        </w:rPr>
        <w:t xml:space="preserve"> </w:t>
      </w:r>
    </w:p>
    <w:p w14:paraId="101AAF63" w14:textId="0A572EF2" w:rsidR="000F1637" w:rsidRPr="00F54B26" w:rsidRDefault="000F1637" w:rsidP="000F1637">
      <w:pPr>
        <w:rPr>
          <w:rFonts w:ascii="Times New Roman" w:hAnsi="Times New Roman" w:cs="Times New Roman"/>
        </w:rPr>
      </w:pPr>
      <w:r>
        <w:rPr>
          <w:rFonts w:ascii="Times New Roman" w:hAnsi="Times New Roman" w:cs="Times New Roman"/>
        </w:rPr>
        <w:t>Table 1 shows that that age and some of the comorbidities are the most significant contributor</w:t>
      </w:r>
      <w:r w:rsidR="007831D7">
        <w:rPr>
          <w:rFonts w:ascii="Times New Roman" w:hAnsi="Times New Roman" w:cs="Times New Roman"/>
        </w:rPr>
        <w:t>s</w:t>
      </w:r>
      <w:r>
        <w:rPr>
          <w:rFonts w:ascii="Times New Roman" w:hAnsi="Times New Roman" w:cs="Times New Roman"/>
        </w:rPr>
        <w:t xml:space="preserve"> to the risk of mortality. The older the patients are, the higher the risk. The risk of mortality for a patient of 70 years or older would be 4.23 </w:t>
      </w:r>
      <w:r w:rsidR="002510CA">
        <w:rPr>
          <w:rFonts w:ascii="Times New Roman" w:hAnsi="Times New Roman" w:cs="Times New Roman"/>
        </w:rPr>
        <w:t xml:space="preserve">(hazard ratio) </w:t>
      </w:r>
      <w:r>
        <w:rPr>
          <w:rFonts w:ascii="Times New Roman" w:hAnsi="Times New Roman" w:cs="Times New Roman"/>
        </w:rPr>
        <w:t>times higher than a patient of 40 years or younger.</w:t>
      </w:r>
      <w:r w:rsidR="00910E63">
        <w:rPr>
          <w:rFonts w:ascii="Times New Roman" w:hAnsi="Times New Roman" w:cs="Times New Roman"/>
        </w:rPr>
        <w:t xml:space="preserve"> The </w:t>
      </w:r>
      <w:r w:rsidR="002510CA">
        <w:rPr>
          <w:rFonts w:ascii="Times New Roman" w:hAnsi="Times New Roman" w:cs="Times New Roman"/>
        </w:rPr>
        <w:t>hazard ratio is 3.31</w:t>
      </w:r>
      <w:r w:rsidR="00910E63">
        <w:rPr>
          <w:rFonts w:ascii="Times New Roman" w:hAnsi="Times New Roman" w:cs="Times New Roman"/>
        </w:rPr>
        <w:t xml:space="preserve"> for a patient between the age of 56 and 70 </w:t>
      </w:r>
      <w:r w:rsidR="002510CA">
        <w:rPr>
          <w:rFonts w:ascii="Times New Roman" w:hAnsi="Times New Roman" w:cs="Times New Roman"/>
        </w:rPr>
        <w:t>against</w:t>
      </w:r>
      <w:r w:rsidR="00910E63">
        <w:rPr>
          <w:rFonts w:ascii="Times New Roman" w:hAnsi="Times New Roman" w:cs="Times New Roman"/>
        </w:rPr>
        <w:t xml:space="preserve"> a patient of 40 years or younger</w:t>
      </w:r>
      <w:r w:rsidR="002510CA">
        <w:rPr>
          <w:rFonts w:ascii="Times New Roman" w:hAnsi="Times New Roman" w:cs="Times New Roman"/>
        </w:rPr>
        <w:t>,</w:t>
      </w:r>
      <w:r w:rsidR="00910E63">
        <w:rPr>
          <w:rFonts w:ascii="Times New Roman" w:hAnsi="Times New Roman" w:cs="Times New Roman"/>
        </w:rPr>
        <w:t xml:space="preserve"> </w:t>
      </w:r>
      <w:r w:rsidR="002510CA">
        <w:rPr>
          <w:rFonts w:ascii="Times New Roman" w:hAnsi="Times New Roman" w:cs="Times New Roman"/>
        </w:rPr>
        <w:t>2.64</w:t>
      </w:r>
      <w:r w:rsidR="00910E63">
        <w:rPr>
          <w:rFonts w:ascii="Times New Roman" w:hAnsi="Times New Roman" w:cs="Times New Roman"/>
        </w:rPr>
        <w:t xml:space="preserve"> for a patient between the age of 41 and 55. </w:t>
      </w:r>
      <w:r>
        <w:rPr>
          <w:rFonts w:ascii="Times New Roman" w:hAnsi="Times New Roman" w:cs="Times New Roman"/>
        </w:rPr>
        <w:t xml:space="preserve"> The risk of mortality for a patient with</w:t>
      </w:r>
      <w:r w:rsidR="002C0137">
        <w:rPr>
          <w:rFonts w:ascii="Times New Roman" w:hAnsi="Times New Roman" w:cs="Times New Roman"/>
        </w:rPr>
        <w:t xml:space="preserve"> </w:t>
      </w:r>
      <w:r w:rsidRPr="003355ED">
        <w:rPr>
          <w:rFonts w:ascii="Times New Roman" w:hAnsi="Times New Roman" w:cs="Times New Roman"/>
        </w:rPr>
        <w:t>metastatic solid tumor</w:t>
      </w:r>
      <w:r>
        <w:rPr>
          <w:rFonts w:ascii="Times New Roman" w:hAnsi="Times New Roman" w:cs="Times New Roman"/>
        </w:rPr>
        <w:t xml:space="preserve"> </w:t>
      </w:r>
      <w:r w:rsidR="002C0137">
        <w:rPr>
          <w:rFonts w:ascii="Times New Roman" w:hAnsi="Times New Roman" w:cs="Times New Roman"/>
        </w:rPr>
        <w:t>(</w:t>
      </w:r>
      <w:r w:rsidR="00643E48">
        <w:rPr>
          <w:rFonts w:ascii="Times New Roman" w:hAnsi="Times New Roman" w:cs="Times New Roman"/>
        </w:rPr>
        <w:t xml:space="preserve">the </w:t>
      </w:r>
      <w:r w:rsidR="002C0137">
        <w:rPr>
          <w:rFonts w:ascii="Times New Roman" w:hAnsi="Times New Roman" w:cs="Times New Roman"/>
        </w:rPr>
        <w:t xml:space="preserve">metacanc variable) </w:t>
      </w:r>
      <w:r>
        <w:rPr>
          <w:rFonts w:ascii="Times New Roman" w:hAnsi="Times New Roman" w:cs="Times New Roman"/>
        </w:rPr>
        <w:t xml:space="preserve">is 6 times higher than a patient without this disease. </w:t>
      </w:r>
      <w:r w:rsidRPr="003355ED">
        <w:rPr>
          <w:rFonts w:ascii="Times New Roman" w:hAnsi="Times New Roman" w:cs="Times New Roman"/>
        </w:rPr>
        <w:t xml:space="preserve"> </w:t>
      </w:r>
      <w:r w:rsidR="007426D2">
        <w:rPr>
          <w:rFonts w:ascii="Times New Roman" w:hAnsi="Times New Roman" w:cs="Times New Roman"/>
        </w:rPr>
        <w:t>The hazard ratio is 3.72</w:t>
      </w:r>
      <w:r w:rsidR="002C0137">
        <w:rPr>
          <w:rFonts w:ascii="Times New Roman" w:hAnsi="Times New Roman" w:cs="Times New Roman"/>
        </w:rPr>
        <w:t xml:space="preserve"> for a </w:t>
      </w:r>
      <w:r w:rsidR="002C0137">
        <w:rPr>
          <w:rFonts w:ascii="Times New Roman" w:hAnsi="Times New Roman" w:cs="Times New Roman"/>
        </w:rPr>
        <w:lastRenderedPageBreak/>
        <w:t>patient with</w:t>
      </w:r>
      <w:r w:rsidR="002C0137" w:rsidRPr="002C0137">
        <w:rPr>
          <w:rFonts w:ascii="Times New Roman" w:hAnsi="Times New Roman" w:cs="Times New Roman"/>
        </w:rPr>
        <w:t xml:space="preserve"> moderate or severe liver disease</w:t>
      </w:r>
      <w:r w:rsidR="002C0137">
        <w:rPr>
          <w:rFonts w:ascii="Times New Roman" w:hAnsi="Times New Roman" w:cs="Times New Roman"/>
        </w:rPr>
        <w:t xml:space="preserve"> (</w:t>
      </w:r>
      <w:r w:rsidR="00643E48">
        <w:rPr>
          <w:rFonts w:ascii="Times New Roman" w:hAnsi="Times New Roman" w:cs="Times New Roman"/>
        </w:rPr>
        <w:t xml:space="preserve">the </w:t>
      </w:r>
      <w:r w:rsidR="002C0137" w:rsidRPr="002C0137">
        <w:rPr>
          <w:rFonts w:ascii="Times New Roman" w:hAnsi="Times New Roman" w:cs="Times New Roman"/>
        </w:rPr>
        <w:t>msld</w:t>
      </w:r>
      <w:r w:rsidR="002C0137">
        <w:rPr>
          <w:rFonts w:ascii="Times New Roman" w:hAnsi="Times New Roman" w:cs="Times New Roman"/>
        </w:rPr>
        <w:t xml:space="preserve"> variable)</w:t>
      </w:r>
      <w:r w:rsidR="007426D2">
        <w:rPr>
          <w:rFonts w:ascii="Times New Roman" w:hAnsi="Times New Roman" w:cs="Times New Roman"/>
        </w:rPr>
        <w:t xml:space="preserve">, 2.91 </w:t>
      </w:r>
      <w:r w:rsidR="00431E38">
        <w:rPr>
          <w:rFonts w:ascii="Times New Roman" w:hAnsi="Times New Roman" w:cs="Times New Roman"/>
        </w:rPr>
        <w:t>for a patient with cancer</w:t>
      </w:r>
      <w:r w:rsidR="00A14898">
        <w:rPr>
          <w:rFonts w:ascii="Times New Roman" w:hAnsi="Times New Roman" w:cs="Times New Roman"/>
        </w:rPr>
        <w:t xml:space="preserve"> of </w:t>
      </w:r>
      <w:r w:rsidR="00A14898" w:rsidRPr="00A14898">
        <w:rPr>
          <w:rFonts w:ascii="Times New Roman" w:hAnsi="Times New Roman" w:cs="Times New Roman"/>
        </w:rPr>
        <w:t>any malignancy</w:t>
      </w:r>
      <w:r w:rsidR="00A14898">
        <w:rPr>
          <w:rFonts w:ascii="Times New Roman" w:hAnsi="Times New Roman" w:cs="Times New Roman"/>
        </w:rPr>
        <w:t xml:space="preserve"> (the canc variable)</w:t>
      </w:r>
      <w:r w:rsidR="007426D2">
        <w:rPr>
          <w:rFonts w:ascii="Times New Roman" w:hAnsi="Times New Roman" w:cs="Times New Roman"/>
        </w:rPr>
        <w:t xml:space="preserve">, 2.69 </w:t>
      </w:r>
      <w:r w:rsidR="00BA40CB">
        <w:rPr>
          <w:rFonts w:ascii="Times New Roman" w:hAnsi="Times New Roman" w:cs="Times New Roman"/>
        </w:rPr>
        <w:t>for a patient with</w:t>
      </w:r>
      <w:r w:rsidR="00BA40CB" w:rsidRPr="00BA40CB">
        <w:rPr>
          <w:rFonts w:ascii="Times New Roman" w:hAnsi="Times New Roman" w:cs="Times New Roman"/>
        </w:rPr>
        <w:t xml:space="preserve"> hemiplegia or paraplegia</w:t>
      </w:r>
      <w:r w:rsidR="00BA40CB">
        <w:rPr>
          <w:rFonts w:ascii="Times New Roman" w:hAnsi="Times New Roman" w:cs="Times New Roman"/>
        </w:rPr>
        <w:t xml:space="preserve"> (the hp variable)</w:t>
      </w:r>
      <w:r w:rsidR="007426D2">
        <w:rPr>
          <w:rFonts w:ascii="Times New Roman" w:hAnsi="Times New Roman" w:cs="Times New Roman"/>
        </w:rPr>
        <w:t xml:space="preserve">, 1.65 </w:t>
      </w:r>
      <w:r w:rsidR="00BA40CB">
        <w:rPr>
          <w:rFonts w:ascii="Times New Roman" w:hAnsi="Times New Roman" w:cs="Times New Roman"/>
        </w:rPr>
        <w:t>for a patient with</w:t>
      </w:r>
      <w:r w:rsidR="00BA40CB" w:rsidRPr="00BA40CB">
        <w:rPr>
          <w:rFonts w:ascii="Times New Roman" w:hAnsi="Times New Roman" w:cs="Times New Roman"/>
        </w:rPr>
        <w:t xml:space="preserve"> renal disease</w:t>
      </w:r>
      <w:r w:rsidR="00BA40CB">
        <w:rPr>
          <w:rFonts w:ascii="Times New Roman" w:hAnsi="Times New Roman" w:cs="Times New Roman"/>
        </w:rPr>
        <w:t>s (the rend variable)</w:t>
      </w:r>
      <w:r w:rsidR="007426D2">
        <w:rPr>
          <w:rFonts w:ascii="Times New Roman" w:hAnsi="Times New Roman" w:cs="Times New Roman"/>
        </w:rPr>
        <w:t xml:space="preserve">, 1.81 </w:t>
      </w:r>
      <w:r w:rsidR="006B4105">
        <w:rPr>
          <w:rFonts w:ascii="Times New Roman" w:hAnsi="Times New Roman" w:cs="Times New Roman"/>
        </w:rPr>
        <w:t>for a patient with</w:t>
      </w:r>
      <w:r w:rsidR="006B4105" w:rsidRPr="00BA40CB">
        <w:rPr>
          <w:rFonts w:ascii="Times New Roman" w:hAnsi="Times New Roman" w:cs="Times New Roman"/>
        </w:rPr>
        <w:t xml:space="preserve"> </w:t>
      </w:r>
      <w:r w:rsidR="006B4105" w:rsidRPr="006B4105">
        <w:rPr>
          <w:rFonts w:ascii="Times New Roman" w:hAnsi="Times New Roman" w:cs="Times New Roman"/>
        </w:rPr>
        <w:t>congestive heart failure</w:t>
      </w:r>
      <w:r w:rsidR="006B4105">
        <w:rPr>
          <w:rFonts w:ascii="Times New Roman" w:hAnsi="Times New Roman" w:cs="Times New Roman"/>
        </w:rPr>
        <w:t xml:space="preserve"> (the chf varible)</w:t>
      </w:r>
      <w:r w:rsidR="007426D2">
        <w:rPr>
          <w:rFonts w:ascii="Times New Roman" w:hAnsi="Times New Roman" w:cs="Times New Roman"/>
        </w:rPr>
        <w:t xml:space="preserve">, 1.48 </w:t>
      </w:r>
      <w:r w:rsidR="00FA5058">
        <w:rPr>
          <w:rFonts w:ascii="Times New Roman" w:hAnsi="Times New Roman" w:cs="Times New Roman"/>
        </w:rPr>
        <w:t>for a patient with</w:t>
      </w:r>
      <w:r w:rsidR="00FA5058" w:rsidRPr="00BA40CB">
        <w:rPr>
          <w:rFonts w:ascii="Times New Roman" w:hAnsi="Times New Roman" w:cs="Times New Roman"/>
        </w:rPr>
        <w:t xml:space="preserve"> </w:t>
      </w:r>
      <w:r w:rsidR="00FA5058" w:rsidRPr="00FA5058">
        <w:rPr>
          <w:rFonts w:ascii="Times New Roman" w:hAnsi="Times New Roman" w:cs="Times New Roman"/>
        </w:rPr>
        <w:t>peripheral vascular disease</w:t>
      </w:r>
      <w:r w:rsidR="00FA5058">
        <w:rPr>
          <w:rFonts w:ascii="Times New Roman" w:hAnsi="Times New Roman" w:cs="Times New Roman"/>
        </w:rPr>
        <w:t xml:space="preserve"> (the pvd variable)</w:t>
      </w:r>
      <w:r w:rsidR="006B4105">
        <w:rPr>
          <w:rFonts w:ascii="Times New Roman" w:hAnsi="Times New Roman" w:cs="Times New Roman"/>
        </w:rPr>
        <w:t xml:space="preserve"> </w:t>
      </w:r>
      <w:r w:rsidR="003F14BC">
        <w:rPr>
          <w:rFonts w:ascii="Times New Roman" w:hAnsi="Times New Roman" w:cs="Times New Roman"/>
        </w:rPr>
        <w:t>with a marginal p-value</w:t>
      </w:r>
      <w:r w:rsidR="009F3077">
        <w:rPr>
          <w:rFonts w:ascii="Times New Roman" w:hAnsi="Times New Roman" w:cs="Times New Roman"/>
        </w:rPr>
        <w:t xml:space="preserve"> though</w:t>
      </w:r>
      <w:r w:rsidR="00093915">
        <w:rPr>
          <w:rFonts w:ascii="Times New Roman" w:hAnsi="Times New Roman" w:cs="Times New Roman"/>
        </w:rPr>
        <w:t xml:space="preserve"> (0.056)</w:t>
      </w:r>
      <w:r w:rsidR="006B4105">
        <w:rPr>
          <w:rFonts w:ascii="Times New Roman" w:hAnsi="Times New Roman" w:cs="Times New Roman"/>
        </w:rPr>
        <w:t>.</w:t>
      </w:r>
      <w:r w:rsidR="00093915">
        <w:rPr>
          <w:rFonts w:ascii="Times New Roman" w:hAnsi="Times New Roman" w:cs="Times New Roman"/>
        </w:rPr>
        <w:t xml:space="preserve">  The risk of mortality for a patient admitted to the hospital through emergency departments is 3.09 times higher than a patient admitted to the </w:t>
      </w:r>
      <w:r w:rsidR="00093915" w:rsidRPr="003E2794">
        <w:rPr>
          <w:rFonts w:ascii="Times New Roman" w:hAnsi="Times New Roman" w:cs="Times New Roman"/>
        </w:rPr>
        <w:t xml:space="preserve">hospital electively. </w:t>
      </w:r>
      <w:r w:rsidR="006B4105" w:rsidRPr="003E2794">
        <w:rPr>
          <w:rFonts w:ascii="Times New Roman" w:hAnsi="Times New Roman" w:cs="Times New Roman"/>
        </w:rPr>
        <w:t xml:space="preserve"> </w:t>
      </w:r>
      <w:r w:rsidR="000C106B" w:rsidRPr="003E2794">
        <w:rPr>
          <w:rFonts w:ascii="Times New Roman" w:hAnsi="Times New Roman" w:cs="Times New Roman"/>
        </w:rPr>
        <w:t>The</w:t>
      </w:r>
      <w:r w:rsidR="00447D3C" w:rsidRPr="003E2794">
        <w:rPr>
          <w:rFonts w:ascii="Times New Roman" w:hAnsi="Times New Roman" w:cs="Times New Roman"/>
        </w:rPr>
        <w:t>re’s no significant difference in the</w:t>
      </w:r>
      <w:r w:rsidR="000C106B" w:rsidRPr="003E2794">
        <w:rPr>
          <w:rFonts w:ascii="Times New Roman" w:hAnsi="Times New Roman" w:cs="Times New Roman"/>
        </w:rPr>
        <w:t xml:space="preserve"> risk of mortality between electively admitted </w:t>
      </w:r>
      <w:r w:rsidR="007D3CB2" w:rsidRPr="003E2794">
        <w:rPr>
          <w:rFonts w:ascii="Times New Roman" w:hAnsi="Times New Roman" w:cs="Times New Roman" w:hint="eastAsia"/>
        </w:rPr>
        <w:t>pati</w:t>
      </w:r>
      <w:r w:rsidR="007D3CB2" w:rsidRPr="003E2794">
        <w:rPr>
          <w:rFonts w:ascii="Times New Roman" w:hAnsi="Times New Roman" w:cs="Times New Roman"/>
        </w:rPr>
        <w:t xml:space="preserve">ents </w:t>
      </w:r>
      <w:r w:rsidR="000C106B" w:rsidRPr="003E2794">
        <w:rPr>
          <w:rFonts w:ascii="Times New Roman" w:hAnsi="Times New Roman" w:cs="Times New Roman"/>
        </w:rPr>
        <w:t xml:space="preserve">and </w:t>
      </w:r>
      <w:r w:rsidR="007D3CB2" w:rsidRPr="003E2794">
        <w:rPr>
          <w:rFonts w:ascii="Times New Roman" w:hAnsi="Times New Roman" w:cs="Times New Roman"/>
        </w:rPr>
        <w:t xml:space="preserve">those </w:t>
      </w:r>
      <w:r w:rsidR="000C106B" w:rsidRPr="003E2794">
        <w:rPr>
          <w:rFonts w:ascii="Times New Roman" w:hAnsi="Times New Roman" w:cs="Times New Roman"/>
        </w:rPr>
        <w:t xml:space="preserve">admitted through urgent </w:t>
      </w:r>
      <w:r w:rsidR="00447D3C" w:rsidRPr="003E2794">
        <w:rPr>
          <w:rFonts w:ascii="Times New Roman" w:hAnsi="Times New Roman" w:cs="Times New Roman"/>
        </w:rPr>
        <w:t xml:space="preserve">care. </w:t>
      </w:r>
      <w:r w:rsidR="00FB56FD" w:rsidRPr="003E2794">
        <w:rPr>
          <w:rFonts w:ascii="Times New Roman" w:hAnsi="Times New Roman" w:cs="Times New Roman"/>
        </w:rPr>
        <w:t xml:space="preserve">The risk of mortality for a patient who stayed in the hospital for </w:t>
      </w:r>
      <w:r w:rsidR="00FB56FD">
        <w:rPr>
          <w:rFonts w:ascii="Times New Roman" w:hAnsi="Times New Roman" w:cs="Times New Roman"/>
        </w:rPr>
        <w:t xml:space="preserve">more than 10 days would </w:t>
      </w:r>
      <w:r w:rsidR="00C954F0">
        <w:rPr>
          <w:rFonts w:ascii="Times New Roman" w:hAnsi="Times New Roman" w:cs="Times New Roman"/>
        </w:rPr>
        <w:t xml:space="preserve">be </w:t>
      </w:r>
      <w:r w:rsidR="00FB56FD">
        <w:rPr>
          <w:rFonts w:ascii="Times New Roman" w:hAnsi="Times New Roman" w:cs="Times New Roman"/>
        </w:rPr>
        <w:t xml:space="preserve">2.29 times higher than a patient who stayed for 2-3 days. </w:t>
      </w:r>
      <w:r w:rsidR="00C954F0">
        <w:rPr>
          <w:rFonts w:ascii="Times New Roman" w:hAnsi="Times New Roman" w:cs="Times New Roman"/>
        </w:rPr>
        <w:t>The hazard ratio is 1.38 for patients who stayed in the hospital for 6-10 days against those who stayed for 2-3 days, and 1.44 for patients who stayed for 4-5 days.</w:t>
      </w:r>
      <w:r w:rsidR="004213F1">
        <w:rPr>
          <w:rFonts w:ascii="Times New Roman" w:hAnsi="Times New Roman" w:cs="Times New Roman"/>
        </w:rPr>
        <w:t xml:space="preserve"> The risk of mortality for a patient with a low body temperature last measured at the hospital is 1.44 </w:t>
      </w:r>
      <w:r w:rsidR="00223929">
        <w:rPr>
          <w:rFonts w:ascii="Times New Roman" w:hAnsi="Times New Roman" w:cs="Times New Roman"/>
        </w:rPr>
        <w:t xml:space="preserve">times higher </w:t>
      </w:r>
      <w:r w:rsidR="004213F1">
        <w:rPr>
          <w:rFonts w:ascii="Times New Roman" w:hAnsi="Times New Roman" w:cs="Times New Roman"/>
        </w:rPr>
        <w:t>than a patient with a normal last measured body temperature.</w:t>
      </w:r>
      <w:r w:rsidR="00223929">
        <w:rPr>
          <w:rFonts w:ascii="Times New Roman" w:hAnsi="Times New Roman" w:cs="Times New Roman"/>
        </w:rPr>
        <w:t xml:space="preserve"> There’s no significant difference in the risk of mortality between patients with a high last measured body temperature is and those with a normal body temperature, nor between the patients who did not have their body temperature measured and those with a normal body temperature.</w:t>
      </w:r>
      <w:r w:rsidR="009E6E64">
        <w:rPr>
          <w:rFonts w:ascii="Times New Roman" w:hAnsi="Times New Roman" w:cs="Times New Roman"/>
        </w:rPr>
        <w:t xml:space="preserve"> The risk of mortality of a patient who last stayed in the TSICU </w:t>
      </w:r>
      <w:r w:rsidR="006523FF">
        <w:rPr>
          <w:rFonts w:ascii="Times New Roman" w:hAnsi="Times New Roman" w:cs="Times New Roman"/>
        </w:rPr>
        <w:t>(</w:t>
      </w:r>
      <w:r w:rsidR="006523FF" w:rsidRPr="006523FF">
        <w:rPr>
          <w:rFonts w:ascii="Times New Roman" w:hAnsi="Times New Roman" w:cs="Times New Roman"/>
        </w:rPr>
        <w:t>Trauma Surgical Intensive Care Unit</w:t>
      </w:r>
      <w:r w:rsidR="006523FF">
        <w:rPr>
          <w:rFonts w:ascii="Times New Roman" w:hAnsi="Times New Roman" w:cs="Times New Roman"/>
        </w:rPr>
        <w:t xml:space="preserve">) </w:t>
      </w:r>
      <w:r w:rsidR="009E6E64">
        <w:rPr>
          <w:rFonts w:ascii="Times New Roman" w:hAnsi="Times New Roman" w:cs="Times New Roman"/>
        </w:rPr>
        <w:t>unit would be 0.59 times lower than a patient who last stayed in the CCU</w:t>
      </w:r>
      <w:r w:rsidR="006523FF">
        <w:rPr>
          <w:rFonts w:ascii="Times New Roman" w:hAnsi="Times New Roman" w:cs="Times New Roman"/>
        </w:rPr>
        <w:t xml:space="preserve"> (</w:t>
      </w:r>
      <w:r w:rsidR="006523FF" w:rsidRPr="006523FF">
        <w:rPr>
          <w:rFonts w:ascii="Times New Roman" w:hAnsi="Times New Roman" w:cs="Times New Roman"/>
        </w:rPr>
        <w:t>Coronary Care Unit</w:t>
      </w:r>
      <w:r w:rsidR="006523FF">
        <w:rPr>
          <w:rFonts w:ascii="Times New Roman" w:hAnsi="Times New Roman" w:cs="Times New Roman"/>
        </w:rPr>
        <w:t>)</w:t>
      </w:r>
      <w:r w:rsidR="009E6E64">
        <w:rPr>
          <w:rFonts w:ascii="Times New Roman" w:hAnsi="Times New Roman" w:cs="Times New Roman"/>
        </w:rPr>
        <w:t xml:space="preserve"> unit. There’s no significant difference in the risk of mortality between patients who last stayed in the CSRU</w:t>
      </w:r>
      <w:r w:rsidR="006523FF">
        <w:rPr>
          <w:rFonts w:ascii="Times New Roman" w:hAnsi="Times New Roman" w:cs="Times New Roman"/>
        </w:rPr>
        <w:t xml:space="preserve"> (</w:t>
      </w:r>
      <w:r w:rsidR="006523FF" w:rsidRPr="006523FF">
        <w:rPr>
          <w:rFonts w:ascii="Times New Roman" w:hAnsi="Times New Roman" w:cs="Times New Roman"/>
        </w:rPr>
        <w:t>Cardiac Surgery Recovery Unit</w:t>
      </w:r>
      <w:r w:rsidR="006523FF">
        <w:rPr>
          <w:rFonts w:ascii="Times New Roman" w:hAnsi="Times New Roman" w:cs="Times New Roman"/>
        </w:rPr>
        <w:t>)</w:t>
      </w:r>
      <w:r w:rsidR="009E6E64">
        <w:rPr>
          <w:rFonts w:ascii="Times New Roman" w:hAnsi="Times New Roman" w:cs="Times New Roman"/>
        </w:rPr>
        <w:t>, MICU</w:t>
      </w:r>
      <w:r w:rsidR="006523FF">
        <w:rPr>
          <w:rFonts w:ascii="Times New Roman" w:hAnsi="Times New Roman" w:cs="Times New Roman"/>
        </w:rPr>
        <w:t xml:space="preserve"> (</w:t>
      </w:r>
      <w:r w:rsidR="006523FF" w:rsidRPr="006523FF">
        <w:rPr>
          <w:rFonts w:ascii="Times New Roman" w:hAnsi="Times New Roman" w:cs="Times New Roman"/>
        </w:rPr>
        <w:t>Medical Intensive Care Unit</w:t>
      </w:r>
      <w:r w:rsidR="006523FF">
        <w:rPr>
          <w:rFonts w:ascii="Times New Roman" w:hAnsi="Times New Roman" w:cs="Times New Roman"/>
        </w:rPr>
        <w:t>)</w:t>
      </w:r>
      <w:r w:rsidR="009E6E64">
        <w:rPr>
          <w:rFonts w:ascii="Times New Roman" w:hAnsi="Times New Roman" w:cs="Times New Roman"/>
        </w:rPr>
        <w:t xml:space="preserve">, </w:t>
      </w:r>
      <w:r w:rsidR="006523FF">
        <w:rPr>
          <w:rFonts w:ascii="Times New Roman" w:hAnsi="Times New Roman" w:cs="Times New Roman"/>
        </w:rPr>
        <w:t xml:space="preserve">or </w:t>
      </w:r>
      <w:r w:rsidR="009E6E64">
        <w:rPr>
          <w:rFonts w:ascii="Times New Roman" w:hAnsi="Times New Roman" w:cs="Times New Roman"/>
        </w:rPr>
        <w:t>SICU</w:t>
      </w:r>
      <w:r w:rsidR="006523FF">
        <w:rPr>
          <w:rFonts w:ascii="Times New Roman" w:hAnsi="Times New Roman" w:cs="Times New Roman"/>
        </w:rPr>
        <w:t xml:space="preserve"> (</w:t>
      </w:r>
      <w:r w:rsidR="006523FF" w:rsidRPr="006523FF">
        <w:rPr>
          <w:rFonts w:ascii="Times New Roman" w:hAnsi="Times New Roman" w:cs="Times New Roman"/>
        </w:rPr>
        <w:t>Surgical Intensive Care Unit</w:t>
      </w:r>
      <w:r w:rsidR="006523FF">
        <w:rPr>
          <w:rFonts w:ascii="Times New Roman" w:hAnsi="Times New Roman" w:cs="Times New Roman"/>
        </w:rPr>
        <w:t>)</w:t>
      </w:r>
      <w:r w:rsidR="009E6E64">
        <w:rPr>
          <w:rFonts w:ascii="Times New Roman" w:hAnsi="Times New Roman" w:cs="Times New Roman"/>
        </w:rPr>
        <w:t xml:space="preserve"> and those who last stayed in the CCU unit. </w:t>
      </w:r>
    </w:p>
    <w:p w14:paraId="511AAB3D" w14:textId="6AC71E29" w:rsidR="000F1637" w:rsidRDefault="000F1637">
      <w:pPr>
        <w:rPr>
          <w:rFonts w:ascii="Times New Roman" w:hAnsi="Times New Roman" w:cs="Times New Roman"/>
        </w:rPr>
      </w:pPr>
    </w:p>
    <w:p w14:paraId="0C3DAF44" w14:textId="77777777" w:rsidR="000E3FA7" w:rsidRDefault="000E3FA7" w:rsidP="000E3FA7">
      <w:pPr>
        <w:rPr>
          <w:rFonts w:ascii="Times New Roman" w:hAnsi="Times New Roman" w:cs="Times New Roman"/>
          <w:b/>
          <w:bCs/>
        </w:rPr>
      </w:pPr>
      <w:r>
        <w:rPr>
          <w:rFonts w:ascii="Times New Roman" w:hAnsi="Times New Roman" w:cs="Times New Roman"/>
          <w:b/>
          <w:bCs/>
        </w:rPr>
        <w:t>Conclusion</w:t>
      </w:r>
    </w:p>
    <w:p w14:paraId="35798305" w14:textId="5C06B797" w:rsidR="000E3FA7" w:rsidRPr="00F54B26" w:rsidRDefault="00E51740" w:rsidP="000E3FA7">
      <w:pPr>
        <w:rPr>
          <w:rFonts w:ascii="Times New Roman" w:hAnsi="Times New Roman" w:cs="Times New Roman"/>
        </w:rPr>
      </w:pPr>
      <w:r>
        <w:rPr>
          <w:rFonts w:ascii="Times New Roman" w:hAnsi="Times New Roman" w:cs="Times New Roman"/>
        </w:rPr>
        <w:t>The concordance index of the model is 0.829, which suggests that the variables explain a large of amount of variation in the patient mortality within 90 days of discharge from the hospital for those who are sent home. In other words, the variables have an impact on the 90-day mortality. The most impactful variables are age</w:t>
      </w:r>
      <w:r w:rsidR="000E3FA7" w:rsidRPr="000E3FA7">
        <w:rPr>
          <w:rFonts w:ascii="Times New Roman" w:hAnsi="Times New Roman" w:cs="Times New Roman"/>
        </w:rPr>
        <w:t xml:space="preserve"> and comorbidities</w:t>
      </w:r>
      <w:r>
        <w:rPr>
          <w:rFonts w:ascii="Times New Roman" w:hAnsi="Times New Roman" w:cs="Times New Roman"/>
        </w:rPr>
        <w:t>.</w:t>
      </w:r>
      <w:r w:rsidR="000E3FA7" w:rsidRPr="000E3FA7">
        <w:rPr>
          <w:rFonts w:ascii="Times New Roman" w:hAnsi="Times New Roman" w:cs="Times New Roman"/>
        </w:rPr>
        <w:t xml:space="preserve"> The older the patients are, the higher the risk. </w:t>
      </w:r>
      <w:r>
        <w:rPr>
          <w:rFonts w:ascii="Times New Roman" w:hAnsi="Times New Roman" w:cs="Times New Roman"/>
        </w:rPr>
        <w:t>Patients with cancer related disease have a significant higher risk of mortality</w:t>
      </w:r>
      <w:r w:rsidR="000E3FA7" w:rsidRPr="000E3FA7">
        <w:rPr>
          <w:rFonts w:ascii="Times New Roman" w:hAnsi="Times New Roman" w:cs="Times New Roman"/>
        </w:rPr>
        <w:t>.</w:t>
      </w:r>
      <w:r>
        <w:rPr>
          <w:rFonts w:ascii="Times New Roman" w:hAnsi="Times New Roman" w:cs="Times New Roman"/>
        </w:rPr>
        <w:t xml:space="preserve"> </w:t>
      </w:r>
      <w:r w:rsidR="000E3FA7">
        <w:rPr>
          <w:rFonts w:ascii="Times New Roman" w:hAnsi="Times New Roman" w:cs="Times New Roman"/>
        </w:rPr>
        <w:t xml:space="preserve"> </w:t>
      </w:r>
      <w:r w:rsidR="000707C2">
        <w:rPr>
          <w:rFonts w:ascii="Times New Roman" w:hAnsi="Times New Roman" w:cs="Times New Roman"/>
        </w:rPr>
        <w:t>Gender, ethnicity, number of reports, and the vital sign variables except for the body temperature are not significantly impacting the risk o</w:t>
      </w:r>
      <w:r w:rsidR="00EF0F2F">
        <w:rPr>
          <w:rFonts w:ascii="Times New Roman" w:hAnsi="Times New Roman" w:cs="Times New Roman"/>
        </w:rPr>
        <w:t>f</w:t>
      </w:r>
      <w:r w:rsidR="000707C2">
        <w:rPr>
          <w:rFonts w:ascii="Times New Roman" w:hAnsi="Times New Roman" w:cs="Times New Roman"/>
        </w:rPr>
        <w:t xml:space="preserve"> mortality.</w:t>
      </w:r>
      <w:r w:rsidR="00FA51A7">
        <w:rPr>
          <w:rFonts w:ascii="Times New Roman" w:hAnsi="Times New Roman" w:cs="Times New Roman"/>
        </w:rPr>
        <w:t xml:space="preserve"> </w:t>
      </w:r>
      <w:r w:rsidR="006F4F43">
        <w:rPr>
          <w:rFonts w:ascii="Times New Roman" w:hAnsi="Times New Roman" w:cs="Times New Roman"/>
        </w:rPr>
        <w:t>This information</w:t>
      </w:r>
      <w:r w:rsidR="00FA51A7">
        <w:rPr>
          <w:rFonts w:ascii="Times New Roman" w:hAnsi="Times New Roman" w:cs="Times New Roman"/>
        </w:rPr>
        <w:t xml:space="preserve"> may help the doctors with their patient discharge decisions</w:t>
      </w:r>
      <w:r w:rsidR="006F4F43">
        <w:rPr>
          <w:rFonts w:ascii="Times New Roman" w:hAnsi="Times New Roman" w:cs="Times New Roman"/>
        </w:rPr>
        <w:t xml:space="preserve"> to reduce mortality rate among patients who are discharged home</w:t>
      </w:r>
      <w:r w:rsidR="00FA51A7">
        <w:rPr>
          <w:rFonts w:ascii="Times New Roman" w:hAnsi="Times New Roman" w:cs="Times New Roman"/>
        </w:rPr>
        <w:t>.</w:t>
      </w:r>
    </w:p>
    <w:p w14:paraId="425037D6" w14:textId="5CB17AEA" w:rsidR="003E36D1" w:rsidRDefault="003E36D1">
      <w:pPr>
        <w:rPr>
          <w:rFonts w:ascii="Times New Roman" w:hAnsi="Times New Roman" w:cs="Times New Roman"/>
        </w:rPr>
      </w:pPr>
    </w:p>
    <w:p w14:paraId="704599C3" w14:textId="77777777" w:rsidR="00FD0BD3" w:rsidRDefault="00FD0BD3" w:rsidP="00FD0BD3">
      <w:pPr>
        <w:rPr>
          <w:rFonts w:ascii="Times New Roman" w:hAnsi="Times New Roman" w:cs="Times New Roman"/>
          <w:b/>
          <w:bCs/>
        </w:rPr>
      </w:pPr>
      <w:r>
        <w:rPr>
          <w:rFonts w:ascii="Times New Roman" w:hAnsi="Times New Roman" w:cs="Times New Roman"/>
          <w:b/>
          <w:bCs/>
        </w:rPr>
        <w:t>Future Work</w:t>
      </w:r>
    </w:p>
    <w:p w14:paraId="6E52A3B5" w14:textId="107222DF" w:rsidR="00FD0BD3" w:rsidRPr="00FD0BD3" w:rsidRDefault="00FD0BD3" w:rsidP="00FD0BD3">
      <w:pPr>
        <w:rPr>
          <w:rFonts w:ascii="Times New Roman" w:hAnsi="Times New Roman" w:cs="Times New Roman"/>
        </w:rPr>
      </w:pPr>
      <w:r>
        <w:rPr>
          <w:rFonts w:ascii="Times New Roman" w:hAnsi="Times New Roman" w:cs="Times New Roman"/>
        </w:rPr>
        <w:t>In addition to the data investigated in this study, t</w:t>
      </w:r>
      <w:r w:rsidRPr="00F54B26">
        <w:rPr>
          <w:rFonts w:ascii="Times New Roman" w:hAnsi="Times New Roman" w:cs="Times New Roman"/>
        </w:rPr>
        <w:t xml:space="preserve">he MIMICIII database has many </w:t>
      </w:r>
      <w:r>
        <w:rPr>
          <w:rFonts w:ascii="Times New Roman" w:hAnsi="Times New Roman" w:cs="Times New Roman"/>
        </w:rPr>
        <w:t>other health record data including medical notes from doctors and nurses. Previous studies show that information extracted from these notes using machine learning techniques help with predicting patient mortality</w:t>
      </w:r>
      <w:r w:rsidR="00097477">
        <w:rPr>
          <w:rFonts w:ascii="Times New Roman" w:hAnsi="Times New Roman" w:cs="Times New Roman"/>
        </w:rPr>
        <w:t xml:space="preserve"> </w:t>
      </w:r>
      <w:r w:rsidR="00097477" w:rsidRPr="00097477">
        <w:rPr>
          <w:rFonts w:ascii="Times New Roman" w:hAnsi="Times New Roman" w:cs="Times New Roman"/>
          <w:vertAlign w:val="superscript"/>
        </w:rPr>
        <w:t>[</w:t>
      </w:r>
      <w:r w:rsidR="002E1FC5">
        <w:rPr>
          <w:rFonts w:ascii="Times New Roman" w:hAnsi="Times New Roman" w:cs="Times New Roman"/>
          <w:vertAlign w:val="superscript"/>
        </w:rPr>
        <w:t>4</w:t>
      </w:r>
      <w:r w:rsidR="00097477" w:rsidRPr="00097477">
        <w:rPr>
          <w:rFonts w:ascii="Times New Roman" w:hAnsi="Times New Roman" w:cs="Times New Roman"/>
          <w:vertAlign w:val="superscript"/>
        </w:rPr>
        <w:t>]</w:t>
      </w:r>
      <w:r>
        <w:rPr>
          <w:rFonts w:ascii="Times New Roman" w:hAnsi="Times New Roman" w:cs="Times New Roman"/>
        </w:rPr>
        <w:t xml:space="preserve">. Our next step is to analyze the notes using Topic Modeling algorithm and then incorporate the results into the Cox </w:t>
      </w:r>
      <w:r w:rsidRPr="00FD0BD3">
        <w:rPr>
          <w:rFonts w:ascii="Times New Roman" w:hAnsi="Times New Roman" w:cs="Times New Roman"/>
        </w:rPr>
        <w:t xml:space="preserve">Proportional Hazards model and to improve the model </w:t>
      </w:r>
      <w:r w:rsidR="00EF0F2F">
        <w:rPr>
          <w:rFonts w:ascii="Times New Roman" w:hAnsi="Times New Roman" w:cs="Times New Roman"/>
        </w:rPr>
        <w:t>results</w:t>
      </w:r>
      <w:r w:rsidRPr="00FD0BD3">
        <w:rPr>
          <w:rFonts w:ascii="Times New Roman" w:hAnsi="Times New Roman" w:cs="Times New Roman"/>
        </w:rPr>
        <w:t>.</w:t>
      </w:r>
      <w:r w:rsidR="00EF0F2F">
        <w:rPr>
          <w:rFonts w:ascii="Times New Roman" w:hAnsi="Times New Roman" w:cs="Times New Roman"/>
        </w:rPr>
        <w:t xml:space="preserve"> The last step is to</w:t>
      </w:r>
      <w:r w:rsidRPr="00FD0BD3">
        <w:rPr>
          <w:rFonts w:ascii="Times New Roman" w:hAnsi="Times New Roman" w:cs="Times New Roman"/>
        </w:rPr>
        <w:t xml:space="preserve"> predict mortality using machine learning techniques</w:t>
      </w:r>
      <w:r w:rsidR="005E4B2E">
        <w:rPr>
          <w:rFonts w:ascii="Times New Roman" w:hAnsi="Times New Roman" w:cs="Times New Roman"/>
        </w:rPr>
        <w:t xml:space="preserve">. If the accuracy is decent, the model can be implemented and used in hospitals to help doctors to improve their patient discharge decisions. </w:t>
      </w:r>
    </w:p>
    <w:p w14:paraId="1FC55474" w14:textId="77777777" w:rsidR="00FD0BD3" w:rsidRDefault="00FD0BD3">
      <w:pPr>
        <w:rPr>
          <w:rFonts w:ascii="Times New Roman" w:hAnsi="Times New Roman" w:cs="Times New Roman"/>
        </w:rPr>
      </w:pPr>
    </w:p>
    <w:p w14:paraId="76A5028A" w14:textId="03DB0690" w:rsidR="003E36D1" w:rsidRDefault="00C83582">
      <w:pPr>
        <w:rPr>
          <w:rFonts w:ascii="Times New Roman" w:hAnsi="Times New Roman" w:cs="Times New Roman"/>
        </w:rPr>
      </w:pPr>
      <w:r>
        <w:rPr>
          <w:rFonts w:ascii="Times New Roman" w:hAnsi="Times New Roman" w:cs="Times New Roman"/>
          <w:noProof/>
        </w:rPr>
        <w:lastRenderedPageBreak/>
        <w:drawing>
          <wp:inline distT="0" distB="0" distL="0" distR="0" wp14:anchorId="0497829B" wp14:editId="0DAF0A05">
            <wp:extent cx="5943600" cy="7429500"/>
            <wp:effectExtent l="0" t="0" r="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700D95F6" w14:textId="70D2AA26" w:rsidR="0074091E" w:rsidRPr="006E50DB" w:rsidRDefault="006E50DB" w:rsidP="0074091E">
      <w:pPr>
        <w:pStyle w:val="ListParagraph"/>
        <w:rPr>
          <w:rFonts w:ascii="Times New Roman" w:hAnsi="Times New Roman" w:cs="Times New Roman"/>
        </w:rPr>
      </w:pPr>
      <w:r w:rsidRPr="006E50DB">
        <w:rPr>
          <w:rFonts w:ascii="Times New Roman" w:hAnsi="Times New Roman" w:cs="Times New Roman"/>
        </w:rPr>
        <w:t>Table 1. Hazard ratio of each covariate to its baseline for patients discharged home</w:t>
      </w:r>
    </w:p>
    <w:p w14:paraId="0D23D689" w14:textId="3C045F80" w:rsidR="0074091E" w:rsidRDefault="0074091E" w:rsidP="0074091E">
      <w:pPr>
        <w:pStyle w:val="ListParagraph"/>
        <w:ind w:hanging="720"/>
        <w:rPr>
          <w:rFonts w:ascii="Times New Roman" w:hAnsi="Times New Roman" w:cs="Times New Roman"/>
          <w:b/>
          <w:bCs/>
        </w:rPr>
      </w:pPr>
    </w:p>
    <w:p w14:paraId="07D6974E" w14:textId="16FA4884" w:rsidR="001368B2" w:rsidRDefault="001368B2" w:rsidP="001368B2">
      <w:pPr>
        <w:pStyle w:val="ListParagraph"/>
        <w:ind w:left="0"/>
        <w:jc w:val="center"/>
        <w:rPr>
          <w:rFonts w:ascii="Times New Roman" w:hAnsi="Times New Roman" w:cs="Times New Roman"/>
          <w:b/>
          <w:bCs/>
        </w:rPr>
      </w:pPr>
    </w:p>
    <w:p w14:paraId="735B84CE" w14:textId="2B5498DA" w:rsidR="00E95BAD" w:rsidRDefault="00E95BAD" w:rsidP="001368B2">
      <w:pPr>
        <w:pStyle w:val="ListParagraph"/>
        <w:ind w:left="0"/>
        <w:jc w:val="center"/>
        <w:rPr>
          <w:rFonts w:ascii="Times New Roman" w:hAnsi="Times New Roman" w:cs="Times New Roman"/>
          <w:b/>
          <w:bCs/>
        </w:rPr>
      </w:pPr>
    </w:p>
    <w:p w14:paraId="0258340B" w14:textId="77777777" w:rsidR="00FD0BD3" w:rsidRDefault="00FD0BD3" w:rsidP="00C11C77">
      <w:pPr>
        <w:rPr>
          <w:rFonts w:ascii="Times New Roman" w:hAnsi="Times New Roman" w:cs="Times New Roman"/>
          <w:b/>
          <w:bCs/>
        </w:rPr>
      </w:pPr>
    </w:p>
    <w:p w14:paraId="3D61A4C9" w14:textId="7DD439B3" w:rsidR="00BB10E4" w:rsidRDefault="00BB10E4" w:rsidP="00AD1D98">
      <w:pPr>
        <w:spacing w:after="120"/>
        <w:rPr>
          <w:rFonts w:ascii="Times New Roman" w:hAnsi="Times New Roman" w:cs="Times New Roman"/>
          <w:b/>
          <w:bCs/>
          <w:sz w:val="24"/>
          <w:szCs w:val="24"/>
        </w:rPr>
      </w:pPr>
      <w:r w:rsidRPr="00AD1D98">
        <w:rPr>
          <w:rFonts w:ascii="Times New Roman" w:hAnsi="Times New Roman" w:cs="Times New Roman"/>
          <w:b/>
          <w:bCs/>
          <w:sz w:val="24"/>
          <w:szCs w:val="24"/>
        </w:rPr>
        <w:t>Reference</w:t>
      </w:r>
      <w:r w:rsidR="00B04208" w:rsidRPr="00AD1D98">
        <w:rPr>
          <w:rFonts w:ascii="Times New Roman" w:hAnsi="Times New Roman" w:cs="Times New Roman"/>
          <w:b/>
          <w:bCs/>
          <w:sz w:val="24"/>
          <w:szCs w:val="24"/>
        </w:rPr>
        <w:t>:</w:t>
      </w:r>
    </w:p>
    <w:p w14:paraId="329B3B24" w14:textId="4A18A09C" w:rsidR="0032257A" w:rsidRPr="0032257A" w:rsidRDefault="0032257A" w:rsidP="0032257A">
      <w:pPr>
        <w:pStyle w:val="ListParagraph"/>
        <w:numPr>
          <w:ilvl w:val="0"/>
          <w:numId w:val="4"/>
        </w:numPr>
        <w:spacing w:after="120"/>
        <w:contextualSpacing w:val="0"/>
        <w:rPr>
          <w:rFonts w:ascii="Times New Roman" w:hAnsi="Times New Roman" w:cs="Times New Roman"/>
          <w:sz w:val="24"/>
          <w:szCs w:val="24"/>
        </w:rPr>
      </w:pPr>
      <w:r w:rsidRPr="0032257A">
        <w:rPr>
          <w:rFonts w:ascii="Times New Roman" w:hAnsi="Times New Roman" w:cs="Times New Roman"/>
          <w:sz w:val="24"/>
          <w:szCs w:val="24"/>
        </w:rPr>
        <w:t>Johnson AEW, Pollard TJ, Shen L, et al. MIMIC-III, a freely accessible critical care database. Sci Data. 2016;3:160035,10.1038/sdata.2016.35 PubMed PMID: 27219127; PMCID: PMC4878278.</w:t>
      </w:r>
    </w:p>
    <w:p w14:paraId="0838A5FA" w14:textId="0305F09F" w:rsidR="0032257A" w:rsidRPr="0032257A" w:rsidRDefault="0032257A" w:rsidP="0032257A">
      <w:pPr>
        <w:pStyle w:val="ListParagraph"/>
        <w:numPr>
          <w:ilvl w:val="0"/>
          <w:numId w:val="4"/>
        </w:numPr>
        <w:spacing w:after="120"/>
        <w:contextualSpacing w:val="0"/>
        <w:rPr>
          <w:rFonts w:ascii="Times New Roman" w:hAnsi="Times New Roman" w:cs="Times New Roman"/>
          <w:sz w:val="24"/>
          <w:szCs w:val="24"/>
        </w:rPr>
      </w:pPr>
      <w:r w:rsidRPr="0032257A">
        <w:rPr>
          <w:rFonts w:ascii="Times New Roman" w:hAnsi="Times New Roman" w:cs="Times New Roman"/>
          <w:sz w:val="24"/>
          <w:szCs w:val="24"/>
        </w:rPr>
        <w:t>Rogliani, Paola; Sforza, Maurizia; Calzetta, Luigino</w:t>
      </w:r>
      <w:r>
        <w:rPr>
          <w:rFonts w:ascii="Times New Roman" w:hAnsi="Times New Roman" w:cs="Times New Roman"/>
          <w:sz w:val="24"/>
          <w:szCs w:val="24"/>
        </w:rPr>
        <w:t>.</w:t>
      </w:r>
      <w:r w:rsidRPr="0032257A">
        <w:rPr>
          <w:rFonts w:ascii="Times New Roman" w:hAnsi="Times New Roman" w:cs="Times New Roman"/>
          <w:sz w:val="24"/>
          <w:szCs w:val="24"/>
        </w:rPr>
        <w:t xml:space="preserve"> The impact of comorbidities on severe asthma, Current Opinion in Pulmonary Medicine: January 2020 - Volume 26 - Issue 1 - p 47-55.</w:t>
      </w:r>
    </w:p>
    <w:p w14:paraId="00442FC1" w14:textId="33FC7F52" w:rsidR="0032257A" w:rsidRPr="0032257A" w:rsidRDefault="0032257A" w:rsidP="0032257A">
      <w:pPr>
        <w:pStyle w:val="ListParagraph"/>
        <w:numPr>
          <w:ilvl w:val="0"/>
          <w:numId w:val="4"/>
        </w:numPr>
        <w:spacing w:after="120"/>
        <w:contextualSpacing w:val="0"/>
        <w:rPr>
          <w:rFonts w:ascii="Times New Roman" w:hAnsi="Times New Roman" w:cs="Times New Roman"/>
          <w:sz w:val="24"/>
          <w:szCs w:val="24"/>
        </w:rPr>
      </w:pPr>
      <w:r w:rsidRPr="0032257A">
        <w:rPr>
          <w:rFonts w:ascii="Times New Roman" w:hAnsi="Times New Roman" w:cs="Times New Roman"/>
          <w:sz w:val="24"/>
          <w:szCs w:val="24"/>
        </w:rPr>
        <w:t>Anthony J. Bleyer, Sri Vidya, Gregory B. Russell, Catherine M. Jones, Leon Sujata, Pirouz Daeihagh, Donald Hire</w:t>
      </w:r>
      <w:r>
        <w:rPr>
          <w:rFonts w:ascii="Times New Roman" w:hAnsi="Times New Roman" w:cs="Times New Roman"/>
          <w:sz w:val="24"/>
          <w:szCs w:val="24"/>
        </w:rPr>
        <w:t>.</w:t>
      </w:r>
      <w:r w:rsidRPr="0032257A">
        <w:rPr>
          <w:rFonts w:ascii="Times New Roman" w:hAnsi="Times New Roman" w:cs="Times New Roman"/>
          <w:sz w:val="24"/>
          <w:szCs w:val="24"/>
        </w:rPr>
        <w:t xml:space="preserve"> Longitudinal analysis of one million vital signs in patients in an academic medical center, ELSEVIER, Resuscitation. 2011; 82: 1387-1392, Resuscitation 82 (2011) 1387-1392.</w:t>
      </w:r>
    </w:p>
    <w:p w14:paraId="51B6859B" w14:textId="59B9AC3D" w:rsidR="0032257A" w:rsidRPr="0032257A" w:rsidRDefault="0032257A" w:rsidP="0032257A">
      <w:pPr>
        <w:pStyle w:val="ListParagraph"/>
        <w:numPr>
          <w:ilvl w:val="0"/>
          <w:numId w:val="4"/>
        </w:numPr>
        <w:spacing w:after="120"/>
        <w:contextualSpacing w:val="0"/>
        <w:rPr>
          <w:rFonts w:ascii="Times New Roman" w:hAnsi="Times New Roman" w:cs="Times New Roman"/>
          <w:sz w:val="24"/>
          <w:szCs w:val="24"/>
        </w:rPr>
      </w:pPr>
      <w:r w:rsidRPr="0032257A">
        <w:rPr>
          <w:rFonts w:ascii="Times New Roman" w:hAnsi="Times New Roman" w:cs="Times New Roman"/>
          <w:sz w:val="24"/>
          <w:szCs w:val="24"/>
        </w:rPr>
        <w:t>McCoy TH, Castro VM, Cagan A, et al. Sentiment measured in hospital discharge notes is associated with readmission and mortality risk: an electronic health record study. PLoS One. 2015; 10(8): e0136341.</w:t>
      </w:r>
    </w:p>
    <w:p w14:paraId="431181DE" w14:textId="77777777" w:rsidR="0032257A" w:rsidRPr="0032257A" w:rsidRDefault="0032257A" w:rsidP="0032257A">
      <w:pPr>
        <w:pStyle w:val="ListParagraph"/>
        <w:spacing w:after="120"/>
        <w:rPr>
          <w:rFonts w:ascii="Times New Roman" w:hAnsi="Times New Roman" w:cs="Times New Roman"/>
          <w:b/>
          <w:bCs/>
          <w:sz w:val="24"/>
          <w:szCs w:val="24"/>
        </w:rPr>
      </w:pPr>
    </w:p>
    <w:sectPr w:rsidR="0032257A" w:rsidRPr="0032257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7833B" w14:textId="77777777" w:rsidR="005F3099" w:rsidRDefault="005F3099" w:rsidP="006A329B">
      <w:pPr>
        <w:spacing w:after="0" w:line="240" w:lineRule="auto"/>
      </w:pPr>
      <w:r>
        <w:separator/>
      </w:r>
    </w:p>
  </w:endnote>
  <w:endnote w:type="continuationSeparator" w:id="0">
    <w:p w14:paraId="4DE19E6B" w14:textId="77777777" w:rsidR="005F3099" w:rsidRDefault="005F3099" w:rsidP="006A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292940"/>
      <w:docPartObj>
        <w:docPartGallery w:val="Page Numbers (Bottom of Page)"/>
        <w:docPartUnique/>
      </w:docPartObj>
    </w:sdtPr>
    <w:sdtEndPr>
      <w:rPr>
        <w:noProof/>
      </w:rPr>
    </w:sdtEndPr>
    <w:sdtContent>
      <w:p w14:paraId="2B0A4679" w14:textId="264B8CDD" w:rsidR="003B5E9E" w:rsidRDefault="003B5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95FDE" w14:textId="77777777" w:rsidR="006A329B" w:rsidRDefault="006A3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7D0A9" w14:textId="77777777" w:rsidR="005F3099" w:rsidRDefault="005F3099" w:rsidP="006A329B">
      <w:pPr>
        <w:spacing w:after="0" w:line="240" w:lineRule="auto"/>
      </w:pPr>
      <w:r>
        <w:separator/>
      </w:r>
    </w:p>
  </w:footnote>
  <w:footnote w:type="continuationSeparator" w:id="0">
    <w:p w14:paraId="5AEEFF31" w14:textId="77777777" w:rsidR="005F3099" w:rsidRDefault="005F3099" w:rsidP="006A3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57B5"/>
    <w:multiLevelType w:val="hybridMultilevel"/>
    <w:tmpl w:val="2442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2310D"/>
    <w:multiLevelType w:val="hybridMultilevel"/>
    <w:tmpl w:val="6034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51158"/>
    <w:multiLevelType w:val="hybridMultilevel"/>
    <w:tmpl w:val="53B005FC"/>
    <w:lvl w:ilvl="0" w:tplc="0450BF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921D6"/>
    <w:multiLevelType w:val="hybridMultilevel"/>
    <w:tmpl w:val="9152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64430"/>
    <w:multiLevelType w:val="multilevel"/>
    <w:tmpl w:val="5DE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A2"/>
    <w:rsid w:val="000122E6"/>
    <w:rsid w:val="00032C9D"/>
    <w:rsid w:val="000362FB"/>
    <w:rsid w:val="00037F04"/>
    <w:rsid w:val="00056C24"/>
    <w:rsid w:val="0006319F"/>
    <w:rsid w:val="00067A81"/>
    <w:rsid w:val="000707C2"/>
    <w:rsid w:val="00082F29"/>
    <w:rsid w:val="00087BD6"/>
    <w:rsid w:val="00093915"/>
    <w:rsid w:val="00097477"/>
    <w:rsid w:val="000A5EB9"/>
    <w:rsid w:val="000B3002"/>
    <w:rsid w:val="000C106B"/>
    <w:rsid w:val="000C35AC"/>
    <w:rsid w:val="000C52C7"/>
    <w:rsid w:val="000D50A2"/>
    <w:rsid w:val="000E2909"/>
    <w:rsid w:val="000E36D7"/>
    <w:rsid w:val="000E3FA7"/>
    <w:rsid w:val="000F1637"/>
    <w:rsid w:val="000F51EB"/>
    <w:rsid w:val="00107CAB"/>
    <w:rsid w:val="00115335"/>
    <w:rsid w:val="001175FD"/>
    <w:rsid w:val="0012726B"/>
    <w:rsid w:val="001368B2"/>
    <w:rsid w:val="001461B6"/>
    <w:rsid w:val="001478F9"/>
    <w:rsid w:val="00152BE7"/>
    <w:rsid w:val="00186C70"/>
    <w:rsid w:val="001913B7"/>
    <w:rsid w:val="00194B0D"/>
    <w:rsid w:val="00194DF0"/>
    <w:rsid w:val="00196885"/>
    <w:rsid w:val="001B06A4"/>
    <w:rsid w:val="001B0EBE"/>
    <w:rsid w:val="001C00F1"/>
    <w:rsid w:val="001C0219"/>
    <w:rsid w:val="001C197B"/>
    <w:rsid w:val="001C474C"/>
    <w:rsid w:val="001C4E86"/>
    <w:rsid w:val="001D4E04"/>
    <w:rsid w:val="0021020B"/>
    <w:rsid w:val="00217AEF"/>
    <w:rsid w:val="00223929"/>
    <w:rsid w:val="00227258"/>
    <w:rsid w:val="00227B6A"/>
    <w:rsid w:val="00232D68"/>
    <w:rsid w:val="0024537F"/>
    <w:rsid w:val="002510CA"/>
    <w:rsid w:val="002610DB"/>
    <w:rsid w:val="0026315D"/>
    <w:rsid w:val="0026508F"/>
    <w:rsid w:val="00266D41"/>
    <w:rsid w:val="00290ACE"/>
    <w:rsid w:val="002A482C"/>
    <w:rsid w:val="002C0137"/>
    <w:rsid w:val="002E1304"/>
    <w:rsid w:val="002E1FC5"/>
    <w:rsid w:val="00305C3E"/>
    <w:rsid w:val="003122BB"/>
    <w:rsid w:val="0032257A"/>
    <w:rsid w:val="003355ED"/>
    <w:rsid w:val="003441A3"/>
    <w:rsid w:val="00346858"/>
    <w:rsid w:val="003515AC"/>
    <w:rsid w:val="0036071F"/>
    <w:rsid w:val="00361030"/>
    <w:rsid w:val="00363A18"/>
    <w:rsid w:val="00364F3B"/>
    <w:rsid w:val="00371BE5"/>
    <w:rsid w:val="00373B33"/>
    <w:rsid w:val="00384882"/>
    <w:rsid w:val="00386286"/>
    <w:rsid w:val="00387AAE"/>
    <w:rsid w:val="003A02FD"/>
    <w:rsid w:val="003A5555"/>
    <w:rsid w:val="003B1A71"/>
    <w:rsid w:val="003B33DE"/>
    <w:rsid w:val="003B5E9E"/>
    <w:rsid w:val="003D4D9E"/>
    <w:rsid w:val="003D5813"/>
    <w:rsid w:val="003E2794"/>
    <w:rsid w:val="003E36D1"/>
    <w:rsid w:val="003F14BC"/>
    <w:rsid w:val="00413221"/>
    <w:rsid w:val="0041326A"/>
    <w:rsid w:val="004213F1"/>
    <w:rsid w:val="00421AFB"/>
    <w:rsid w:val="00431E38"/>
    <w:rsid w:val="00446F95"/>
    <w:rsid w:val="00447D3C"/>
    <w:rsid w:val="00453A6C"/>
    <w:rsid w:val="00465C25"/>
    <w:rsid w:val="004765C6"/>
    <w:rsid w:val="0049175A"/>
    <w:rsid w:val="00492160"/>
    <w:rsid w:val="00494DD6"/>
    <w:rsid w:val="0049691D"/>
    <w:rsid w:val="004975D8"/>
    <w:rsid w:val="004B2415"/>
    <w:rsid w:val="004C3D44"/>
    <w:rsid w:val="004D361B"/>
    <w:rsid w:val="004D5CF0"/>
    <w:rsid w:val="004F2B3E"/>
    <w:rsid w:val="004F5FFB"/>
    <w:rsid w:val="00506738"/>
    <w:rsid w:val="00535B0B"/>
    <w:rsid w:val="00544E63"/>
    <w:rsid w:val="0054632F"/>
    <w:rsid w:val="005552DA"/>
    <w:rsid w:val="005577BD"/>
    <w:rsid w:val="00566B76"/>
    <w:rsid w:val="005757B7"/>
    <w:rsid w:val="0057799D"/>
    <w:rsid w:val="005947DD"/>
    <w:rsid w:val="005960F0"/>
    <w:rsid w:val="005A2015"/>
    <w:rsid w:val="005A6473"/>
    <w:rsid w:val="005B0681"/>
    <w:rsid w:val="005B78EE"/>
    <w:rsid w:val="005C61DA"/>
    <w:rsid w:val="005C63B2"/>
    <w:rsid w:val="005C6779"/>
    <w:rsid w:val="005C702F"/>
    <w:rsid w:val="005E4B2E"/>
    <w:rsid w:val="005F3099"/>
    <w:rsid w:val="0063611D"/>
    <w:rsid w:val="00643E48"/>
    <w:rsid w:val="006454B9"/>
    <w:rsid w:val="006517FA"/>
    <w:rsid w:val="006523FF"/>
    <w:rsid w:val="006556C4"/>
    <w:rsid w:val="00663DE2"/>
    <w:rsid w:val="0068602D"/>
    <w:rsid w:val="006A329B"/>
    <w:rsid w:val="006A6DE2"/>
    <w:rsid w:val="006B2577"/>
    <w:rsid w:val="006B2D93"/>
    <w:rsid w:val="006B4105"/>
    <w:rsid w:val="006B7858"/>
    <w:rsid w:val="006C563E"/>
    <w:rsid w:val="006E1184"/>
    <w:rsid w:val="006E50DB"/>
    <w:rsid w:val="006E5D3D"/>
    <w:rsid w:val="006F2ADD"/>
    <w:rsid w:val="006F4F43"/>
    <w:rsid w:val="00704ABC"/>
    <w:rsid w:val="00715A40"/>
    <w:rsid w:val="00722D2B"/>
    <w:rsid w:val="007244DE"/>
    <w:rsid w:val="00736BBE"/>
    <w:rsid w:val="0074091E"/>
    <w:rsid w:val="007426D2"/>
    <w:rsid w:val="007465A3"/>
    <w:rsid w:val="007541A8"/>
    <w:rsid w:val="00756244"/>
    <w:rsid w:val="00776AF1"/>
    <w:rsid w:val="007831D7"/>
    <w:rsid w:val="0078752C"/>
    <w:rsid w:val="0079161B"/>
    <w:rsid w:val="007A0F8A"/>
    <w:rsid w:val="007B27D3"/>
    <w:rsid w:val="007C5A22"/>
    <w:rsid w:val="007D0EDA"/>
    <w:rsid w:val="007D1801"/>
    <w:rsid w:val="007D30B3"/>
    <w:rsid w:val="007D3CB2"/>
    <w:rsid w:val="007D5372"/>
    <w:rsid w:val="007E7015"/>
    <w:rsid w:val="007F55A9"/>
    <w:rsid w:val="008005B9"/>
    <w:rsid w:val="00801187"/>
    <w:rsid w:val="00805088"/>
    <w:rsid w:val="008124FB"/>
    <w:rsid w:val="00812C2F"/>
    <w:rsid w:val="00822A01"/>
    <w:rsid w:val="00826C27"/>
    <w:rsid w:val="00830296"/>
    <w:rsid w:val="00831BAD"/>
    <w:rsid w:val="008371BD"/>
    <w:rsid w:val="00855A26"/>
    <w:rsid w:val="00857CCE"/>
    <w:rsid w:val="008621DA"/>
    <w:rsid w:val="00867F65"/>
    <w:rsid w:val="0087091B"/>
    <w:rsid w:val="00874D01"/>
    <w:rsid w:val="00887736"/>
    <w:rsid w:val="00897556"/>
    <w:rsid w:val="008A14E4"/>
    <w:rsid w:val="008B4E4B"/>
    <w:rsid w:val="008D4DD6"/>
    <w:rsid w:val="008E02F8"/>
    <w:rsid w:val="0090772B"/>
    <w:rsid w:val="00907A61"/>
    <w:rsid w:val="00910E63"/>
    <w:rsid w:val="00913713"/>
    <w:rsid w:val="0091498D"/>
    <w:rsid w:val="00920DF9"/>
    <w:rsid w:val="0093556A"/>
    <w:rsid w:val="00942F38"/>
    <w:rsid w:val="00946122"/>
    <w:rsid w:val="009675FE"/>
    <w:rsid w:val="009749DF"/>
    <w:rsid w:val="00991ABF"/>
    <w:rsid w:val="0099304E"/>
    <w:rsid w:val="00993C32"/>
    <w:rsid w:val="009945B9"/>
    <w:rsid w:val="009A3894"/>
    <w:rsid w:val="009B2408"/>
    <w:rsid w:val="009B2AD8"/>
    <w:rsid w:val="009B322C"/>
    <w:rsid w:val="009C28A5"/>
    <w:rsid w:val="009E18A7"/>
    <w:rsid w:val="009E69D2"/>
    <w:rsid w:val="009E6E64"/>
    <w:rsid w:val="009F3077"/>
    <w:rsid w:val="009F4E5B"/>
    <w:rsid w:val="00A0211C"/>
    <w:rsid w:val="00A10D23"/>
    <w:rsid w:val="00A11D55"/>
    <w:rsid w:val="00A14898"/>
    <w:rsid w:val="00A15B2F"/>
    <w:rsid w:val="00A23067"/>
    <w:rsid w:val="00A301BA"/>
    <w:rsid w:val="00A31F87"/>
    <w:rsid w:val="00A3209F"/>
    <w:rsid w:val="00A41F6B"/>
    <w:rsid w:val="00A423EC"/>
    <w:rsid w:val="00A45E94"/>
    <w:rsid w:val="00A50C0B"/>
    <w:rsid w:val="00A6703A"/>
    <w:rsid w:val="00A736E4"/>
    <w:rsid w:val="00A75816"/>
    <w:rsid w:val="00A90EF8"/>
    <w:rsid w:val="00AA4537"/>
    <w:rsid w:val="00AB461C"/>
    <w:rsid w:val="00AC71DF"/>
    <w:rsid w:val="00AD0B4E"/>
    <w:rsid w:val="00AD1D98"/>
    <w:rsid w:val="00AE0378"/>
    <w:rsid w:val="00AE42CD"/>
    <w:rsid w:val="00AF2153"/>
    <w:rsid w:val="00B04208"/>
    <w:rsid w:val="00B05038"/>
    <w:rsid w:val="00B05C4A"/>
    <w:rsid w:val="00B21FBD"/>
    <w:rsid w:val="00B242D4"/>
    <w:rsid w:val="00B24CA5"/>
    <w:rsid w:val="00B251FD"/>
    <w:rsid w:val="00B369A0"/>
    <w:rsid w:val="00B40AE4"/>
    <w:rsid w:val="00B4578C"/>
    <w:rsid w:val="00B54514"/>
    <w:rsid w:val="00B54870"/>
    <w:rsid w:val="00B558EE"/>
    <w:rsid w:val="00B66925"/>
    <w:rsid w:val="00B66D52"/>
    <w:rsid w:val="00B84244"/>
    <w:rsid w:val="00B875A9"/>
    <w:rsid w:val="00B91B7E"/>
    <w:rsid w:val="00BA40CB"/>
    <w:rsid w:val="00BA6A90"/>
    <w:rsid w:val="00BB10E4"/>
    <w:rsid w:val="00BB2641"/>
    <w:rsid w:val="00BB5F35"/>
    <w:rsid w:val="00BB6784"/>
    <w:rsid w:val="00BC2FD5"/>
    <w:rsid w:val="00BC5156"/>
    <w:rsid w:val="00BC59C5"/>
    <w:rsid w:val="00BE4EDA"/>
    <w:rsid w:val="00BF2091"/>
    <w:rsid w:val="00C0727D"/>
    <w:rsid w:val="00C11C77"/>
    <w:rsid w:val="00C27AFC"/>
    <w:rsid w:val="00C351A9"/>
    <w:rsid w:val="00C53D31"/>
    <w:rsid w:val="00C6197D"/>
    <w:rsid w:val="00C64E96"/>
    <w:rsid w:val="00C71B67"/>
    <w:rsid w:val="00C81EAF"/>
    <w:rsid w:val="00C83582"/>
    <w:rsid w:val="00C85D0C"/>
    <w:rsid w:val="00C954F0"/>
    <w:rsid w:val="00CA1642"/>
    <w:rsid w:val="00CA4B40"/>
    <w:rsid w:val="00CB27B0"/>
    <w:rsid w:val="00CC10C4"/>
    <w:rsid w:val="00CC4800"/>
    <w:rsid w:val="00CD7753"/>
    <w:rsid w:val="00CF167B"/>
    <w:rsid w:val="00CF1B6E"/>
    <w:rsid w:val="00D007BD"/>
    <w:rsid w:val="00D10C02"/>
    <w:rsid w:val="00D20ADD"/>
    <w:rsid w:val="00D34294"/>
    <w:rsid w:val="00D34390"/>
    <w:rsid w:val="00D34692"/>
    <w:rsid w:val="00D4306C"/>
    <w:rsid w:val="00D44E71"/>
    <w:rsid w:val="00D53FF7"/>
    <w:rsid w:val="00D66A0E"/>
    <w:rsid w:val="00D75735"/>
    <w:rsid w:val="00D94898"/>
    <w:rsid w:val="00DA5B70"/>
    <w:rsid w:val="00DA7BD1"/>
    <w:rsid w:val="00DC0855"/>
    <w:rsid w:val="00DC5BC5"/>
    <w:rsid w:val="00DE0ED8"/>
    <w:rsid w:val="00DF11A3"/>
    <w:rsid w:val="00DF22E3"/>
    <w:rsid w:val="00DF337F"/>
    <w:rsid w:val="00DF474D"/>
    <w:rsid w:val="00DF74AF"/>
    <w:rsid w:val="00E00E1F"/>
    <w:rsid w:val="00E03308"/>
    <w:rsid w:val="00E03F65"/>
    <w:rsid w:val="00E05D45"/>
    <w:rsid w:val="00E16E38"/>
    <w:rsid w:val="00E27709"/>
    <w:rsid w:val="00E33A25"/>
    <w:rsid w:val="00E3534E"/>
    <w:rsid w:val="00E47EDA"/>
    <w:rsid w:val="00E51740"/>
    <w:rsid w:val="00E70151"/>
    <w:rsid w:val="00E72B29"/>
    <w:rsid w:val="00E95BAD"/>
    <w:rsid w:val="00EA03B2"/>
    <w:rsid w:val="00EA4130"/>
    <w:rsid w:val="00EC3A9B"/>
    <w:rsid w:val="00EE7DAD"/>
    <w:rsid w:val="00EF0F2F"/>
    <w:rsid w:val="00F00E98"/>
    <w:rsid w:val="00F02D3F"/>
    <w:rsid w:val="00F04764"/>
    <w:rsid w:val="00F13ADB"/>
    <w:rsid w:val="00F147BA"/>
    <w:rsid w:val="00F435F8"/>
    <w:rsid w:val="00F47A72"/>
    <w:rsid w:val="00F54B26"/>
    <w:rsid w:val="00F63999"/>
    <w:rsid w:val="00F81F00"/>
    <w:rsid w:val="00F87A76"/>
    <w:rsid w:val="00F926F7"/>
    <w:rsid w:val="00FA02C9"/>
    <w:rsid w:val="00FA5058"/>
    <w:rsid w:val="00FA51A7"/>
    <w:rsid w:val="00FB45BD"/>
    <w:rsid w:val="00FB48AC"/>
    <w:rsid w:val="00FB56FD"/>
    <w:rsid w:val="00FB7A2E"/>
    <w:rsid w:val="00FD0BD3"/>
    <w:rsid w:val="00FD1019"/>
    <w:rsid w:val="00FD34AB"/>
    <w:rsid w:val="00FD53E6"/>
    <w:rsid w:val="00FD5DB3"/>
    <w:rsid w:val="00FF128F"/>
    <w:rsid w:val="00FF5C7C"/>
    <w:rsid w:val="00FF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B316"/>
  <w15:chartTrackingRefBased/>
  <w15:docId w15:val="{8D8512CC-6C31-41D5-8569-FAA827D9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A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161B"/>
    <w:rPr>
      <w:b/>
      <w:bCs/>
    </w:rPr>
  </w:style>
  <w:style w:type="paragraph" w:styleId="ListParagraph">
    <w:name w:val="List Paragraph"/>
    <w:basedOn w:val="Normal"/>
    <w:uiPriority w:val="34"/>
    <w:qFormat/>
    <w:rsid w:val="00C11C77"/>
    <w:pPr>
      <w:ind w:left="720"/>
      <w:contextualSpacing/>
    </w:pPr>
  </w:style>
  <w:style w:type="character" w:styleId="Hyperlink">
    <w:name w:val="Hyperlink"/>
    <w:basedOn w:val="DefaultParagraphFont"/>
    <w:uiPriority w:val="99"/>
    <w:unhideWhenUsed/>
    <w:rsid w:val="00855A26"/>
    <w:rPr>
      <w:color w:val="0000FF"/>
      <w:u w:val="single"/>
    </w:rPr>
  </w:style>
  <w:style w:type="character" w:customStyle="1" w:styleId="Heading1Char">
    <w:name w:val="Heading 1 Char"/>
    <w:basedOn w:val="DefaultParagraphFont"/>
    <w:link w:val="Heading1"/>
    <w:uiPriority w:val="9"/>
    <w:rsid w:val="00FB7A2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FB7A2E"/>
  </w:style>
  <w:style w:type="character" w:customStyle="1" w:styleId="text">
    <w:name w:val="text"/>
    <w:basedOn w:val="DefaultParagraphFont"/>
    <w:rsid w:val="00FB7A2E"/>
  </w:style>
  <w:style w:type="character" w:customStyle="1" w:styleId="author-ref">
    <w:name w:val="author-ref"/>
    <w:basedOn w:val="DefaultParagraphFont"/>
    <w:rsid w:val="00FB7A2E"/>
  </w:style>
  <w:style w:type="character" w:customStyle="1" w:styleId="refseries">
    <w:name w:val="ref__series"/>
    <w:basedOn w:val="DefaultParagraphFont"/>
    <w:rsid w:val="00913713"/>
  </w:style>
  <w:style w:type="character" w:customStyle="1" w:styleId="refseriesdate">
    <w:name w:val="ref__seriesdate"/>
    <w:basedOn w:val="DefaultParagraphFont"/>
    <w:rsid w:val="00913713"/>
  </w:style>
  <w:style w:type="character" w:customStyle="1" w:styleId="refseriesvolume">
    <w:name w:val="ref__seriesvolume"/>
    <w:basedOn w:val="DefaultParagraphFont"/>
    <w:rsid w:val="00913713"/>
  </w:style>
  <w:style w:type="character" w:customStyle="1" w:styleId="refseriespages">
    <w:name w:val="ref__seriespages"/>
    <w:basedOn w:val="DefaultParagraphFont"/>
    <w:rsid w:val="00913713"/>
  </w:style>
  <w:style w:type="character" w:customStyle="1" w:styleId="article-headerpages">
    <w:name w:val="article-header__pages"/>
    <w:basedOn w:val="DefaultParagraphFont"/>
    <w:rsid w:val="00913713"/>
  </w:style>
  <w:style w:type="character" w:customStyle="1" w:styleId="article-headerdate">
    <w:name w:val="article-header__date"/>
    <w:basedOn w:val="DefaultParagraphFont"/>
    <w:rsid w:val="00913713"/>
  </w:style>
  <w:style w:type="paragraph" w:styleId="Header">
    <w:name w:val="header"/>
    <w:basedOn w:val="Normal"/>
    <w:link w:val="HeaderChar"/>
    <w:uiPriority w:val="99"/>
    <w:unhideWhenUsed/>
    <w:rsid w:val="006A3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9B"/>
  </w:style>
  <w:style w:type="paragraph" w:styleId="Footer">
    <w:name w:val="footer"/>
    <w:basedOn w:val="Normal"/>
    <w:link w:val="FooterChar"/>
    <w:uiPriority w:val="99"/>
    <w:unhideWhenUsed/>
    <w:rsid w:val="006A3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9B"/>
  </w:style>
  <w:style w:type="character" w:styleId="UnresolvedMention">
    <w:name w:val="Unresolved Mention"/>
    <w:basedOn w:val="DefaultParagraphFont"/>
    <w:uiPriority w:val="99"/>
    <w:semiHidden/>
    <w:unhideWhenUsed/>
    <w:rsid w:val="0087091B"/>
    <w:rPr>
      <w:color w:val="605E5C"/>
      <w:shd w:val="clear" w:color="auto" w:fill="E1DFDD"/>
    </w:rPr>
  </w:style>
  <w:style w:type="character" w:customStyle="1" w:styleId="ej-keyword">
    <w:name w:val="ej-keyword"/>
    <w:basedOn w:val="DefaultParagraphFont"/>
    <w:rsid w:val="0087091B"/>
  </w:style>
  <w:style w:type="paragraph" w:styleId="NormalWeb">
    <w:name w:val="Normal (Web)"/>
    <w:basedOn w:val="Normal"/>
    <w:uiPriority w:val="99"/>
    <w:semiHidden/>
    <w:unhideWhenUsed/>
    <w:rsid w:val="00870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668719">
      <w:bodyDiv w:val="1"/>
      <w:marLeft w:val="0"/>
      <w:marRight w:val="0"/>
      <w:marTop w:val="0"/>
      <w:marBottom w:val="0"/>
      <w:divBdr>
        <w:top w:val="none" w:sz="0" w:space="0" w:color="auto"/>
        <w:left w:val="none" w:sz="0" w:space="0" w:color="auto"/>
        <w:bottom w:val="none" w:sz="0" w:space="0" w:color="auto"/>
        <w:right w:val="none" w:sz="0" w:space="0" w:color="auto"/>
      </w:divBdr>
    </w:div>
    <w:div w:id="676884014">
      <w:bodyDiv w:val="1"/>
      <w:marLeft w:val="0"/>
      <w:marRight w:val="0"/>
      <w:marTop w:val="0"/>
      <w:marBottom w:val="0"/>
      <w:divBdr>
        <w:top w:val="none" w:sz="0" w:space="0" w:color="auto"/>
        <w:left w:val="none" w:sz="0" w:space="0" w:color="auto"/>
        <w:bottom w:val="none" w:sz="0" w:space="0" w:color="auto"/>
        <w:right w:val="none" w:sz="0" w:space="0" w:color="auto"/>
      </w:divBdr>
    </w:div>
    <w:div w:id="763650388">
      <w:bodyDiv w:val="1"/>
      <w:marLeft w:val="0"/>
      <w:marRight w:val="0"/>
      <w:marTop w:val="0"/>
      <w:marBottom w:val="0"/>
      <w:divBdr>
        <w:top w:val="none" w:sz="0" w:space="0" w:color="auto"/>
        <w:left w:val="none" w:sz="0" w:space="0" w:color="auto"/>
        <w:bottom w:val="none" w:sz="0" w:space="0" w:color="auto"/>
        <w:right w:val="none" w:sz="0" w:space="0" w:color="auto"/>
      </w:divBdr>
      <w:divsChild>
        <w:div w:id="1180967207">
          <w:marLeft w:val="0"/>
          <w:marRight w:val="0"/>
          <w:marTop w:val="0"/>
          <w:marBottom w:val="0"/>
          <w:divBdr>
            <w:top w:val="none" w:sz="0" w:space="0" w:color="auto"/>
            <w:left w:val="none" w:sz="0" w:space="0" w:color="auto"/>
            <w:bottom w:val="none" w:sz="0" w:space="0" w:color="auto"/>
            <w:right w:val="none" w:sz="0" w:space="0" w:color="auto"/>
          </w:divBdr>
        </w:div>
        <w:div w:id="1456562634">
          <w:marLeft w:val="0"/>
          <w:marRight w:val="0"/>
          <w:marTop w:val="0"/>
          <w:marBottom w:val="0"/>
          <w:divBdr>
            <w:top w:val="none" w:sz="0" w:space="0" w:color="auto"/>
            <w:left w:val="none" w:sz="0" w:space="0" w:color="auto"/>
            <w:bottom w:val="none" w:sz="0" w:space="0" w:color="auto"/>
            <w:right w:val="none" w:sz="0" w:space="0" w:color="auto"/>
          </w:divBdr>
        </w:div>
        <w:div w:id="1477722982">
          <w:marLeft w:val="0"/>
          <w:marRight w:val="0"/>
          <w:marTop w:val="0"/>
          <w:marBottom w:val="0"/>
          <w:divBdr>
            <w:top w:val="none" w:sz="0" w:space="0" w:color="auto"/>
            <w:left w:val="none" w:sz="0" w:space="0" w:color="auto"/>
            <w:bottom w:val="none" w:sz="0" w:space="0" w:color="auto"/>
            <w:right w:val="none" w:sz="0" w:space="0" w:color="auto"/>
          </w:divBdr>
        </w:div>
      </w:divsChild>
    </w:div>
    <w:div w:id="962344051">
      <w:bodyDiv w:val="1"/>
      <w:marLeft w:val="0"/>
      <w:marRight w:val="0"/>
      <w:marTop w:val="0"/>
      <w:marBottom w:val="0"/>
      <w:divBdr>
        <w:top w:val="none" w:sz="0" w:space="0" w:color="auto"/>
        <w:left w:val="none" w:sz="0" w:space="0" w:color="auto"/>
        <w:bottom w:val="none" w:sz="0" w:space="0" w:color="auto"/>
        <w:right w:val="none" w:sz="0" w:space="0" w:color="auto"/>
      </w:divBdr>
    </w:div>
    <w:div w:id="1475491216">
      <w:bodyDiv w:val="1"/>
      <w:marLeft w:val="0"/>
      <w:marRight w:val="0"/>
      <w:marTop w:val="0"/>
      <w:marBottom w:val="0"/>
      <w:divBdr>
        <w:top w:val="none" w:sz="0" w:space="0" w:color="auto"/>
        <w:left w:val="none" w:sz="0" w:space="0" w:color="auto"/>
        <w:bottom w:val="none" w:sz="0" w:space="0" w:color="auto"/>
        <w:right w:val="none" w:sz="0" w:space="0" w:color="auto"/>
      </w:divBdr>
      <w:divsChild>
        <w:div w:id="1827013124">
          <w:marLeft w:val="0"/>
          <w:marRight w:val="0"/>
          <w:marTop w:val="0"/>
          <w:marBottom w:val="0"/>
          <w:divBdr>
            <w:top w:val="none" w:sz="0" w:space="0" w:color="auto"/>
            <w:left w:val="none" w:sz="0" w:space="0" w:color="auto"/>
            <w:bottom w:val="none" w:sz="0" w:space="0" w:color="auto"/>
            <w:right w:val="none" w:sz="0" w:space="0" w:color="auto"/>
          </w:divBdr>
        </w:div>
      </w:divsChild>
    </w:div>
    <w:div w:id="1549687217">
      <w:bodyDiv w:val="1"/>
      <w:marLeft w:val="0"/>
      <w:marRight w:val="0"/>
      <w:marTop w:val="0"/>
      <w:marBottom w:val="0"/>
      <w:divBdr>
        <w:top w:val="none" w:sz="0" w:space="0" w:color="auto"/>
        <w:left w:val="none" w:sz="0" w:space="0" w:color="auto"/>
        <w:bottom w:val="none" w:sz="0" w:space="0" w:color="auto"/>
        <w:right w:val="none" w:sz="0" w:space="0" w:color="auto"/>
      </w:divBdr>
    </w:div>
    <w:div w:id="1828131151">
      <w:bodyDiv w:val="1"/>
      <w:marLeft w:val="0"/>
      <w:marRight w:val="0"/>
      <w:marTop w:val="0"/>
      <w:marBottom w:val="0"/>
      <w:divBdr>
        <w:top w:val="none" w:sz="0" w:space="0" w:color="auto"/>
        <w:left w:val="none" w:sz="0" w:space="0" w:color="auto"/>
        <w:bottom w:val="none" w:sz="0" w:space="0" w:color="auto"/>
        <w:right w:val="none" w:sz="0" w:space="0" w:color="auto"/>
      </w:divBdr>
    </w:div>
    <w:div w:id="18620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if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10012</TotalTime>
  <Pages>7</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Hanna (Student)</dc:creator>
  <cp:keywords/>
  <dc:description/>
  <cp:lastModifiedBy>Lu, Hanna (Student)</cp:lastModifiedBy>
  <cp:revision>120</cp:revision>
  <dcterms:created xsi:type="dcterms:W3CDTF">2020-09-14T18:40:00Z</dcterms:created>
  <dcterms:modified xsi:type="dcterms:W3CDTF">2020-12-13T04:42:00Z</dcterms:modified>
</cp:coreProperties>
</file>