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92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357313" cy="11976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27" r="625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19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9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9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" w:cs="Work Sans" w:eastAsia="Work Sans" w:hAnsi="Work Sans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Work Sans" w:cs="Work Sans" w:eastAsia="Work Sans" w:hAnsi="Work Sans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Work Sans" w:cs="Work Sans" w:eastAsia="Work Sans" w:hAnsi="Work Sans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Work Sans" w:cs="Work Sans" w:eastAsia="Work Sans" w:hAnsi="Work Sans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749.5275590551165" w:firstLine="0"/>
        <w:rPr>
          <w:rFonts w:ascii="Work Sans" w:cs="Work Sans" w:eastAsia="Work Sans" w:hAnsi="Work Sans"/>
          <w:b w:val="1"/>
          <w:sz w:val="60"/>
          <w:szCs w:val="60"/>
        </w:rPr>
      </w:pPr>
      <w:r w:rsidDel="00000000" w:rsidR="00000000" w:rsidRPr="00000000">
        <w:rPr>
          <w:rFonts w:ascii="Work Sans" w:cs="Work Sans" w:eastAsia="Work Sans" w:hAnsi="Work Sans"/>
          <w:b w:val="1"/>
          <w:sz w:val="60"/>
          <w:szCs w:val="60"/>
          <w:rtl w:val="0"/>
        </w:rPr>
        <w:t xml:space="preserve">Bootcamp Data Analytics 2024</w:t>
      </w:r>
    </w:p>
    <w:p w:rsidR="00000000" w:rsidDel="00000000" w:rsidP="00000000" w:rsidRDefault="00000000" w:rsidRPr="00000000" w14:paraId="0000000A">
      <w:pPr>
        <w:spacing w:line="276" w:lineRule="auto"/>
        <w:ind w:left="-566.9291338582677" w:right="-749.5275590551165" w:firstLine="0"/>
        <w:rPr>
          <w:rFonts w:ascii="Work Sans" w:cs="Work Sans" w:eastAsia="Work Sans" w:hAnsi="Work Sans"/>
          <w:color w:val="c6255a"/>
          <w:sz w:val="42"/>
          <w:szCs w:val="42"/>
        </w:rPr>
      </w:pPr>
      <w:r w:rsidDel="00000000" w:rsidR="00000000" w:rsidRPr="00000000">
        <w:rPr>
          <w:rFonts w:ascii="Work Sans" w:cs="Work Sans" w:eastAsia="Work Sans" w:hAnsi="Work Sans"/>
          <w:color w:val="c6255a"/>
          <w:sz w:val="42"/>
          <w:szCs w:val="42"/>
          <w:rtl w:val="0"/>
        </w:rPr>
        <w:t xml:space="preserve">Desafio Final: Previsão de Bullying</w:t>
      </w:r>
    </w:p>
    <w:p w:rsidR="00000000" w:rsidDel="00000000" w:rsidP="00000000" w:rsidRDefault="00000000" w:rsidRPr="00000000" w14:paraId="0000000B">
      <w:pPr>
        <w:ind w:left="-566.9291338582677" w:right="-749.5275590551165" w:firstLine="0"/>
        <w:rPr>
          <w:rFonts w:ascii="Work Sans" w:cs="Work Sans" w:eastAsia="Work Sans" w:hAnsi="Work Sans"/>
          <w:color w:val="c6255a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749.5275590551165" w:firstLine="0"/>
        <w:rPr>
          <w:rFonts w:ascii="Work Sans" w:cs="Work Sans" w:eastAsia="Work Sans" w:hAnsi="Work Sans"/>
          <w:color w:val="c6255a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749.5275590551165" w:firstLine="0"/>
        <w:rPr>
          <w:rFonts w:ascii="Work Sans" w:cs="Work Sans" w:eastAsia="Work Sans" w:hAnsi="Work Sans"/>
          <w:sz w:val="42"/>
          <w:szCs w:val="42"/>
        </w:rPr>
      </w:pPr>
      <w:r w:rsidDel="00000000" w:rsidR="00000000" w:rsidRPr="00000000">
        <w:rPr>
          <w:rFonts w:ascii="Work Sans" w:cs="Work Sans" w:eastAsia="Work Sans" w:hAnsi="Work Sans"/>
          <w:sz w:val="42"/>
          <w:szCs w:val="42"/>
        </w:rPr>
        <w:drawing>
          <wp:inline distB="114300" distT="114300" distL="114300" distR="114300">
            <wp:extent cx="957263" cy="85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color w:val="c6255a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color w:val="ffff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749.5275590551165" w:firstLine="0"/>
        <w:rPr>
          <w:rFonts w:ascii="Work Sans" w:cs="Work Sans" w:eastAsia="Work Sans" w:hAnsi="Work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749.5275590551165" w:firstLine="0"/>
        <w:rPr>
          <w:rFonts w:ascii="Work Sans" w:cs="Work Sans" w:eastAsia="Work Sans" w:hAnsi="Work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749.5275590551165" w:firstLine="0"/>
        <w:rPr>
          <w:rFonts w:ascii="Work Sans" w:cs="Work Sans" w:eastAsia="Work Sans" w:hAnsi="Work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749.5275590551165" w:firstLine="0"/>
        <w:rPr>
          <w:rFonts w:ascii="Work Sans" w:cs="Work Sans" w:eastAsia="Work Sans" w:hAnsi="Work Sa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749.5275590551165" w:firstLine="0"/>
        <w:rPr>
          <w:rFonts w:ascii="Work Sans" w:cs="Work Sans" w:eastAsia="Work Sans" w:hAnsi="Work Sans"/>
          <w:b w:val="1"/>
          <w:color w:val="c6255a"/>
          <w:sz w:val="42"/>
          <w:szCs w:val="42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c6255a"/>
          <w:sz w:val="42"/>
          <w:szCs w:val="42"/>
          <w:rtl w:val="0"/>
        </w:rPr>
        <w:t xml:space="preserve">Desafio Final: Previsão de Bullying</w:t>
      </w:r>
    </w:p>
    <w:p w:rsidR="00000000" w:rsidDel="00000000" w:rsidP="00000000" w:rsidRDefault="00000000" w:rsidRPr="00000000" w14:paraId="00000015">
      <w:pPr>
        <w:ind w:left="-566.9291338582677" w:right="-749.5275590551165" w:firstLine="0"/>
        <w:rPr>
          <w:rFonts w:ascii="Work Sans" w:cs="Work Sans" w:eastAsia="Work Sans" w:hAnsi="Work Sans"/>
          <w:b w:val="1"/>
          <w:color w:val="4747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Work Sans" w:cs="Work Sans" w:eastAsia="Work Sans" w:hAnsi="Work Sans"/>
          <w:b w:val="1"/>
          <w:color w:val="4747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="320" w:lineRule="auto"/>
        <w:rPr>
          <w:rFonts w:ascii="Work Sans" w:cs="Work Sans" w:eastAsia="Work Sans" w:hAnsi="Work Sans"/>
          <w:b w:val="1"/>
          <w:color w:val="202124"/>
          <w:sz w:val="36"/>
          <w:szCs w:val="36"/>
        </w:rPr>
      </w:pPr>
      <w:bookmarkStart w:colFirst="0" w:colLast="0" w:name="_41mqlkobgalw" w:id="0"/>
      <w:bookmarkEnd w:id="0"/>
      <w:r w:rsidDel="00000000" w:rsidR="00000000" w:rsidRPr="00000000">
        <w:rPr>
          <w:rFonts w:ascii="Work Sans" w:cs="Work Sans" w:eastAsia="Work Sans" w:hAnsi="Work Sans"/>
          <w:b w:val="1"/>
          <w:color w:val="202124"/>
          <w:sz w:val="36"/>
          <w:szCs w:val="36"/>
          <w:rtl w:val="0"/>
        </w:rPr>
        <w:t xml:space="preserve">Sobre o conjunto de dados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="320" w:lineRule="auto"/>
        <w:rPr>
          <w:color w:val="3c4043"/>
          <w:sz w:val="21"/>
          <w:szCs w:val="21"/>
        </w:rPr>
      </w:pPr>
      <w:bookmarkStart w:colFirst="0" w:colLast="0" w:name="_js4ec8p91a9a" w:id="1"/>
      <w:bookmarkEnd w:id="1"/>
      <w:r w:rsidDel="00000000" w:rsidR="00000000" w:rsidRPr="00000000">
        <w:rPr>
          <w:color w:val="3c4043"/>
          <w:sz w:val="21"/>
          <w:szCs w:val="21"/>
          <w:rtl w:val="0"/>
        </w:rPr>
        <w:t xml:space="preserve">O Global School-Based Student Health Survey (GSHS) é uma pesquisa escolar que usa um questionário autoaplicável para obter dados sobre o comportamento de saúde dos jovens e fatores de proteção relacionados às principais causas de morbidade e mortalidade.</w:t>
        <w:br w:type="textWrapping"/>
        <w:t xml:space="preserve">A pesquisa foi realizada na Argentina em 2018. Um total de 56.981 alunos participaram.</w:t>
        <w:br w:type="textWrapping"/>
        <w:t xml:space="preserve">A taxa de resposta da escola foi de 86%, a taxa de resposta do aluno foi de 74% e a taxa de resposta geral foi de 63%.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7.14285714285717" w:lineRule="auto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Sobre o desenvolvimento de um modelo de previsão de bullying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377.14285714285717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 partir do GHSH, foram selecionadas as perguntas da pesquisa relacionadas ao bullying. Isto com o objetivo de desenvolver um modelo que permita preveni-la.</w:t>
        <w:br w:type="textWrapping"/>
        <w:t xml:space="preserve">Alguns dos indicadores de bullying têm sido relacionados a sentimentos de solidão, falta de amigos íntimos, má comunicação com os pais, ausência nas aulas. (por exemplo, Nansel et al. Comportamentos de bullying entre jovens americanos: Prevalência e associação com ajustamento psicossocial)</w:t>
        <w:br w:type="textWrapping"/>
        <w:t xml:space="preserve">Da mesma forma, jovens identificados por agressores como abaixo do peso, acima do peso e obesos foram vítimas de bullying.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7.14285714285717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Para responder esse desafio: A base de dados contém as seguintes informações: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record : código identificador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Bullied_on_school_property_in_past_12_months: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Sofreu bullying na propriedade da escola nos últimos 12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Bullied_not_on_school_property_in_past_12_months: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sofreu bullying fora da propriedade da escola nos últimos 12_meses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Cyber_bullied_in_past_12_months: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Cyberbullying nos últimos 12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Custom_Age: Idade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Sex: Sexo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Physically_attacked: Ataque físico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Physical_fighting: Briga Física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Felt_lonely: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Sentiu-se sozinho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Close_friends: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Amigos próximos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Miss_school_no_permission: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Faltam à escola sem permissão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Other_students_kind_and_helpful: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Outros alunos gentis e prestativos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Parents_understand_problems: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Os pais entendem os problemas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Most_of_the_time_or_always_felt_lonely: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 maioria das vezes ou sempre se sentiu sozinho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Missed_classes_or_school_without_permission: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Perdeu aulas ou escola sem permissão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Were_underweight: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Estava abaixo do peso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Were_overweight: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Estava acima do peso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right="-749.5275590551165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Were_obese: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Estava obeso</w:t>
      </w:r>
    </w:p>
    <w:p w:rsidR="00000000" w:rsidDel="00000000" w:rsidP="00000000" w:rsidRDefault="00000000" w:rsidRPr="00000000" w14:paraId="0000002E">
      <w:pPr>
        <w:ind w:left="720" w:right="-749.527559055116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right="-749.5275590551165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Análise dos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Calcule a matriz de correlação para todas as variáveis numéricas e Identifique as correlações mais fortes e mais fracas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aça a análise exploratória dos dados categóricos, calcule a moda e as variáveis e utilize recursos visuais, utilize o teste qui-quadrado para avaliar a análise de correspondência.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Plote histogramas e boxplots para cada tipo de bullying separado por gênero e 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153.0708661417323" w:right="-749.5275590551165" w:firstLine="0"/>
        <w:rPr>
          <w:rFonts w:ascii="Work Sans" w:cs="Work Sans" w:eastAsia="Work Sans" w:hAnsi="Work Sans"/>
          <w:b w:val="1"/>
          <w:sz w:val="24"/>
          <w:szCs w:val="24"/>
        </w:rPr>
      </w:pPr>
      <w:bookmarkStart w:colFirst="0" w:colLast="0" w:name="_j5v74anl1h4v" w:id="2"/>
      <w:bookmarkEnd w:id="2"/>
      <w:r w:rsidDel="00000000" w:rsidR="00000000" w:rsidRPr="00000000">
        <w:rPr>
          <w:rFonts w:ascii="Work Sans" w:cs="Work Sans" w:eastAsia="Work Sans" w:hAnsi="Work Sans"/>
          <w:b w:val="1"/>
          <w:color w:val="000000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Work Sans" w:cs="Work Sans" w:eastAsia="Work Sans" w:hAnsi="Work Sans"/>
          <w:b w:val="1"/>
          <w:color w:val="000000"/>
          <w:sz w:val="26"/>
          <w:szCs w:val="26"/>
          <w:rtl w:val="0"/>
        </w:rPr>
        <w:t xml:space="preserve">. Modelo de Regressão Logística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Construa um modelo de regressão logística para prever a probabilidade de um indivíduo sofrer bullying na escola, considere como target: Bullied_on_school_property_in_past_12_months que representa 1 caso o indivíduo tenha sofrido bullying na escola nos últimos 12 meses, 0 caso contrário.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Análise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as variáveis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mais relevantes no modelo.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Avalie a performance do modelo usando métricas como Acurácia, Precisão, Recall e plote a matriz de confusão.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749.5275590551165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749.5275590551165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749.5275590551165" w:firstLine="0"/>
        <w:rPr>
          <w:rFonts w:ascii="Work Sans" w:cs="Work Sans" w:eastAsia="Work Sans" w:hAnsi="Work Sans"/>
          <w:b w:val="1"/>
          <w:color w:val="c6255a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