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Korea’s Family Transformation</w:t>
      </w:r>
    </w:p>
    <w:p>
      <w:pPr>
        <w:pStyle w:val="Heading2"/>
        <w:pStyle w:val="MdHeading2"/>
      </w:pPr>
      <w:r>
        <w:t xml:space="preserve">Confucian Legacies, Legal Reform, and Gendered Change in Modern South Korea</w:t>
      </w:r>
    </w:p>
    <w:p>
      <w:pPr>
        <w:pStyle w:val="MdParagraph"/>
      </w:pPr>
      <w:r>
        <w:rPr>
          <w:rStyle w:val="MdStrong"/>
          <w:b/>
          <w:bCs/>
        </w:rPr>
        <w:t xml:space="preserve">An illustrated analytical ebook for international readers</w:t>
      </w:r>
    </w:p>
    <w:p>
      <w:pPr>
        <w:pStyle w:val="MdSpace"/>
        <w:spacing w:before="0" w:after="60"/>
      </w:pPr>
    </w:p>
    <w:p>
      <w:pPr>
        <w:pStyle w:val="Heading3"/>
        <w:pStyle w:val="MdHeading3"/>
      </w:pPr>
      <w:r>
        <w:t xml:space="preserve">Editorial note</w:t>
      </w:r>
    </w:p>
    <w:p>
      <w:pPr>
        <w:pStyle w:val="MdParagraph"/>
      </w:pPr>
      <w:r>
        <w:t xml:space="preserve">This revised edition distinguishes historical evidence, statistical description, sociological interpretation, and policy proposal. All quantitative claims should be read with the reference year and definition supplied in the notes and statistical appendix. Figure slots below are intentional production spaces for charts, archival images, timelines, and conceptual diagrams.</w:t>
      </w:r>
    </w:p>
    <w:p>
      <w:pPr>
        <w:pStyle w:val="MdSpace"/>
        <w:spacing w:before="0" w:after="60"/>
      </w:pPr>
    </w:p>
    <w:p>
      <w:pPr>
        <w:pStyle w:val="Heading2"/>
        <w:pStyle w:val="MdHeading2"/>
      </w:pPr>
      <w:r>
        <w:t xml:space="preserve">Contents</w:t>
      </w:r>
    </w:p>
    <w:p>
      <w:pPr>
        <w:pStyle w:val="MdParagraph"/>
      </w:pPr>
      <w:r>
        <w:t xml:space="preserve">Introduction — The Paradox of the Modern Korean Family</w:t>
      </w:r>
    </w:p>
    <w:p>
      <w:pPr>
        <w:pStyle w:val="MdSpace"/>
        <w:spacing w:before="0" w:after="60"/>
      </w:pPr>
    </w:p>
    <w:p>
      <w:pPr>
        <w:pStyle w:val="MdListItem"/>
        <w:numPr>
          <w:ilvl w:val="0"/>
          <w:numId w:val="2"/>
        </w:numPr>
      </w:pPr>
      <w:r>
        <w:t xml:space="preserve">The Confucian Foundation and the Construction of Patrilineal Order</w:t>
      </w:r>
    </w:p>
    <w:p>
      <w:pPr>
        <w:pStyle w:val="MdListItem"/>
        <w:numPr>
          <w:ilvl w:val="0"/>
          <w:numId w:val="2"/>
        </w:numPr>
      </w:pPr>
      <w:r>
        <w:t xml:space="preserve">Colonial Disruption, War, and Compressed Modernization</w:t>
      </w:r>
    </w:p>
    <w:p>
      <w:pPr>
        <w:pStyle w:val="MdListItem"/>
        <w:numPr>
          <w:ilvl w:val="0"/>
          <w:numId w:val="2"/>
        </w:numPr>
      </w:pPr>
      <w:r>
        <w:t xml:space="preserve">The Hoju System and the Architecture of Legal Transformation</w:t>
      </w:r>
    </w:p>
    <w:p>
      <w:pPr>
        <w:pStyle w:val="MdListItem"/>
        <w:numPr>
          <w:ilvl w:val="0"/>
          <w:numId w:val="2"/>
        </w:numPr>
      </w:pPr>
      <w:r>
        <w:t xml:space="preserve">Women in the Workforce and the Double Burden</w:t>
      </w:r>
    </w:p>
    <w:p>
      <w:pPr>
        <w:pStyle w:val="MdListItem"/>
        <w:numPr>
          <w:ilvl w:val="0"/>
          <w:numId w:val="2"/>
        </w:numPr>
      </w:pPr>
      <w:r>
        <w:t xml:space="preserve">The Changing Meaning of Family and Demographic Transformation</w:t>
      </w:r>
    </w:p>
    <w:p>
      <w:pPr>
        <w:pStyle w:val="MdListItem"/>
        <w:numPr>
          <w:ilvl w:val="0"/>
          <w:numId w:val="2"/>
        </w:numPr>
      </w:pPr>
      <w:r>
        <w:t xml:space="preserve">Generational Fractures and an Adaptive Social Contract</w:t>
        <w:br/>
        <w:t xml:space="preserve">Epilogue — Reimagining Kinship in the Twenty-First Century</w:t>
        <w:br/>
        <w:t xml:space="preserve">Statistical Appendix and References</w:t>
      </w:r>
    </w:p>
    <w:p>
      <w:pPr>
        <w:pStyle w:val="MdSpace"/>
        <w:spacing w:before="0" w:after="60"/>
      </w:pPr>
    </w:p>
    <w:p>
      <w:pPr>
        <w:pStyle w:val="MdHr"/>
        <w:pBdr>
          <w:bottom w:val="single" w:color="auto" w:sz="6" w:space="1"/>
        </w:pBdr>
      </w:pPr>
    </w:p>
    <w:p>
      <w:pPr>
        <w:pStyle w:val="MdSpace"/>
        <w:spacing w:before="0" w:after="60"/>
      </w:pPr>
    </w:p>
    <w:p>
      <w:pPr>
        <w:pStyle w:val="Heading2"/>
        <w:pStyle w:val="MdHeading2"/>
      </w:pPr>
      <w:r>
        <w:t xml:space="preserve">Production and reading guide</w:t>
      </w:r>
    </w:p>
    <w:p>
      <w:pPr>
        <w:pStyle w:val="MdParagraph"/>
      </w:pPr>
      <w:r>
        <w:t xml:space="preserve">This book uses a structural approach. “Confucianism” is not treated as a timeless cultural substance that mechanically determines behavior. It is examined as a repertoire of ethical language, family practices, legal categories, and institutional expectations whose meaning changed across periods. Likewise, “modernization” is not presented as a single successful transition. Korea’s transformation produced remarkable gains in education, income, health, and technological capacity, while leaving unevenly distributed risks in housing, employment, care, and family formation.</w:t>
      </w:r>
    </w:p>
    <w:p>
      <w:pPr>
        <w:pStyle w:val="MdSpace"/>
        <w:spacing w:before="0" w:after="60"/>
      </w:pPr>
    </w:p>
    <w:p>
      <w:pPr>
        <w:pStyle w:val="MdParagraph"/>
      </w:pPr>
      <w:r>
        <w:t xml:space="preserve">The distinction matters because contemporary debates often move too quickly from an observed pattern to a cultural explanation. A low fertility rate, for example, can coexist with a desire for children when the costs and risks of parenthood are distributed unevenly. A high level of women’s education can coexist with a persistent gender wage gap when the transition from school to work is relatively equal but promotion, care, and re-entry are not. Throughout the book, the reader should therefore distinguish </w:t>
      </w:r>
      <w:r>
        <w:rPr>
          <w:rStyle w:val="MdStrong"/>
          <w:b/>
          <w:bCs/>
        </w:rPr>
        <w:t xml:space="preserve">values</w:t>
      </w:r>
      <w:r>
        <w:t xml:space="preserve">, </w:t>
      </w:r>
      <w:r>
        <w:rPr>
          <w:rStyle w:val="MdStrong"/>
          <w:b/>
          <w:bCs/>
        </w:rPr>
        <w:t xml:space="preserve">institutions</w:t>
      </w:r>
      <w:r>
        <w:t xml:space="preserve">, </w:t>
      </w:r>
      <w:r>
        <w:rPr>
          <w:rStyle w:val="MdStrong"/>
          <w:b/>
          <w:bCs/>
        </w:rPr>
        <w:t xml:space="preserve">behavior</w:t>
      </w:r>
      <w:r>
        <w:t xml:space="preserve">, and </w:t>
      </w:r>
      <w:r>
        <w:rPr>
          <w:rStyle w:val="MdStrong"/>
          <w:b/>
          <w:bCs/>
        </w:rPr>
        <w:t xml:space="preserve">outcomes</w:t>
      </w:r>
      <w:r>
        <w:t xml:space="preserve">.</w:t>
      </w:r>
    </w:p>
    <w:p>
      <w:pPr>
        <w:pStyle w:val="MdSpace"/>
        <w:spacing w:before="0" w:after="60"/>
      </w:pPr>
    </w:p>
    <w:p>
      <w:pPr>
        <w:pStyle w:val="MdParagraph"/>
      </w:pPr>
      <w:r>
        <w:t xml:space="preserve">[FIGURE 1 — CONCEPTUAL MAP | half page | design as four connected circles: values, law, labor market, household behavior. Caption: “Family change emerges from the interaction of cultural repertoires and institutional constraints.” Source: author’s synthesis based on the historical and statistical sources listed in the appendix.]</w:t>
      </w:r>
    </w:p>
    <w:p>
      <w:pPr>
        <w:pStyle w:val="MdSpace"/>
        <w:spacing w:before="0" w:after="60"/>
      </w:pPr>
    </w:p>
    <w:p>
      <w:pPr>
        <w:pStyle w:val="Heading1"/>
        <w:pStyle w:val="MdHeading1"/>
      </w:pPr>
      <w:r>
        <w:t xml:space="preserve">INTRODUCTION: The Paradox of the Modern Korean Family</w:t>
      </w:r>
    </w:p>
    <w:p>
      <w:pPr>
        <w:pStyle w:val="MdParagraph"/>
      </w:pPr>
      <w:r>
        <w:t xml:space="preserve">The Coexistence of Hyper-Modernity and Traditional Relational Frameworks</w:t>
        <w:br/>
        <w:t xml:space="preserve">When international observers examine contemporary South Korea, they inevitably encounter a profound sociological paradox. On one hand, South Korea is globally celebrated as an ultra-modern economic powerhouse—a world leader in semiconductor manufacturing, electric vehicle technology, high-speed digital infrastructure, and global cultural exports. Its capital, Seoul, is a hyper-connected metropolis characterized by rapid technological adoption, relentless meritocratic competition, and exceptional educational attainment.</w:t>
      </w:r>
    </w:p>
    <w:p>
      <w:pPr>
        <w:pStyle w:val="MdSpace"/>
        <w:spacing w:before="0" w:after="60"/>
      </w:pPr>
    </w:p>
    <w:p>
      <w:pPr>
        <w:pStyle w:val="MdParagraph"/>
      </w:pPr>
      <w:r>
        <w:t xml:space="preserve">On the other hand, its intimate relational sphere—the domestic structures governing marriage, lineage continuation, elder care, and gender roles—remains anchored to deep-seated socio-cultural expectations that trace their structural origins to the Neo-Confucian governance of the Joseon Dynasty (1392–1910).</w:t>
      </w:r>
    </w:p>
    <w:p>
      <w:pPr>
        <w:pStyle w:val="MdSpace"/>
        <w:spacing w:before="0" w:after="60"/>
      </w:pPr>
    </w:p>
    <w:p>
      <w:pPr>
        <w:pStyle w:val="MdParagraph"/>
      </w:pPr>
      <w:r>
        <w:t xml:space="preserve">This structural juxtaposition produces intense friction. In the public sphere, Korean citizens operate under severe capitalist performance metrics that demand total workplace commitment, geographic mobility, and professional flexibility. Yet in the domestic and private spheres, they encounter lingering expectations of collective familial duty, generational hierarchy, and gender-specific obligations.</w:t>
      </w:r>
    </w:p>
    <w:p>
      <w:pPr>
        <w:pStyle w:val="MdSpace"/>
        <w:spacing w:before="0" w:after="60"/>
      </w:pPr>
    </w:p>
    <w:p>
      <w:pPr>
        <w:pStyle w:val="MdParagraph"/>
      </w:pPr>
      <w:r>
        <w:t xml:space="preserve">The collision of these two institutional frameworks has placed South Korea at the center of global sociological and demographic discussions.</w:t>
      </w:r>
    </w:p>
    <w:p>
      <w:pPr>
        <w:pStyle w:val="MdSpace"/>
        <w:spacing w:before="0" w:after="60"/>
      </w:pPr>
    </w:p>
    <w:p>
      <w:pPr>
        <w:pStyle w:val="MdParagraph"/>
      </w:pPr>
      <w:r>
        <w:t xml:space="preserve">Dismantling Reductive Tropes: Moving Beyond Static Confucianism and Western Individualism</w:t>
        <w:br/>
        <w:t xml:space="preserve">Discussions surrounding Korea's demographic crisis, low fertility rates, and gender tensions are frequently clouded by two oversimplified narratives.</w:t>
      </w:r>
    </w:p>
    <w:p>
      <w:pPr>
        <w:pStyle w:val="MdSpace"/>
        <w:spacing w:before="0" w:after="60"/>
      </w:pPr>
    </w:p>
    <w:p>
      <w:pPr>
        <w:pStyle w:val="MdParagraph"/>
      </w:pPr>
      <w:r>
        <w:t xml:space="preserve">The first is "Static Confucian Determinism." This perspective reduces all contemporary relational tensions to an immutable, ancient cultural essence, claiming that "Korea is simply bound to rigid Confucian patriarchy." This reductionist view fails to recognize that Korean family norms are not ancient artifacts frozen in time; they were radically re-engineered, codified, and transformed by colonial rule, war, and state-led industrialization throughout the 20th century.</w:t>
      </w:r>
    </w:p>
    <w:p>
      <w:pPr>
        <w:pStyle w:val="MdSpace"/>
        <w:spacing w:before="0" w:after="60"/>
      </w:pPr>
    </w:p>
    <w:p>
      <w:pPr>
        <w:pStyle w:val="MdParagraph"/>
      </w:pPr>
      <w:r>
        <w:t xml:space="preserve">The second is "The Hedonistic Westernization Narrative." This argument asserts that younger Koreans have abandoned marriage, family formation, and child-rearing purely out of Western-style consumerism, selfishness, or cultural erosion. Empirical evidence, however, demonstrates that modern youth are not rejecting family out of ideological defiance, but are making calculated, defensive adaptations to structural economic constraints, volatile labor markets, prohibitive housing costs, and unyielding domestic imbalances.</w:t>
      </w:r>
    </w:p>
    <w:p>
      <w:pPr>
        <w:pStyle w:val="MdSpace"/>
        <w:spacing w:before="0" w:after="60"/>
      </w:pPr>
    </w:p>
    <w:p>
      <w:pPr>
        <w:pStyle w:val="MdParagraph"/>
      </w:pPr>
      <w:r>
        <w:t xml:space="preserve">Compressed Modernization and Cultural Lag</w:t>
        <w:br/>
        <w:t xml:space="preserve">The most robust theoretical framework for understanding this structural gridlock is Compressed Modernization. Whereas Western European societies experienced industrialization, urbanization, legal secularization, and gender democratization over a span of two to three centuries, South Korea condensed these massive transformations into roughly sixty years (from the early 1960s to the 2020s).</w:t>
      </w:r>
    </w:p>
    <w:p>
      <w:pPr>
        <w:pStyle w:val="MdSpace"/>
        <w:spacing w:before="0" w:after="60"/>
      </w:pPr>
    </w:p>
    <w:p>
      <w:pPr>
        <w:pStyle w:val="MdParagraph"/>
      </w:pPr>
      <w:r>
        <w:t xml:space="preserve">This unprecedented acceleration created severe Cultural Lag—a profound temporal mismatch between institutional structures:</w:t>
      </w:r>
    </w:p>
    <w:p>
      <w:pPr>
        <w:pStyle w:val="MdSpace"/>
        <w:spacing w:before="0" w:after="60"/>
      </w:pPr>
    </w:p>
    <w:p>
      <w:pPr>
        <w:pStyle w:val="MdParagraph"/>
      </w:pPr>
      <w:r>
        <w:t xml:space="preserve">The Hyper-Accelerated Sphere: Rapid economic advancement, legal democratization (such as the 2005 abolition of the patriarchal Hoju system), and a historic leap in female educational attainment.</w:t>
      </w:r>
    </w:p>
    <w:p>
      <w:pPr>
        <w:pStyle w:val="MdSpace"/>
        <w:spacing w:before="0" w:after="60"/>
      </w:pPr>
    </w:p>
    <w:p>
      <w:pPr>
        <w:pStyle w:val="MdParagraph"/>
      </w:pPr>
      <w:r>
        <w:t xml:space="preserve">The Inertial Sphere: Corporate labor practices rooted in the 1970s industrialization era (extreme overtime, mandatory social drinking, face-time presence) and domestic expectations that place primary eldercare and child-rearing responsibilities exclusively on women.</w:t>
      </w:r>
    </w:p>
    <w:p>
      <w:pPr>
        <w:pStyle w:val="MdSpace"/>
        <w:spacing w:before="0" w:after="60"/>
      </w:pPr>
    </w:p>
    <w:p>
      <w:pPr>
        <w:pStyle w:val="MdParagraph"/>
      </w:pPr>
      <w:r>
        <w:t xml:space="preserve">Because institutional and workplace adaptations have lagged behind the rapid educational and legal liberation of women, the domestic arena has become a high-risk zone for young individuals seeking to preserve their economic security and career identity.</w:t>
      </w:r>
    </w:p>
    <w:p>
      <w:pPr>
        <w:pStyle w:val="MdSpace"/>
        <w:spacing w:before="0" w:after="60"/>
      </w:pPr>
    </w:p>
    <w:p>
      <w:pPr>
        <w:pStyle w:val="MdParagraph"/>
      </w:pPr>
      <w:r>
        <w:t xml:space="preserve">Theoretical Approach, Scope, and Structure of Book 2</w:t>
        <w:br/>
        <w:t xml:space="preserve">Book 2 provides an exhaustive, multi-disciplinary examination of South Korea's family systems, gender roles, and demographic transitions. Combining historical sociology, legal jurisprudence, labor economics, and cultural analysis, this volume traces the trajectory from Joseon dynastic governance to 21st-century micro-demographic patterns:</w:t>
      </w:r>
    </w:p>
    <w:p>
      <w:pPr>
        <w:pStyle w:val="MdSpace"/>
        <w:spacing w:before="0" w:after="60"/>
      </w:pPr>
    </w:p>
    <w:p>
      <w:pPr>
        <w:pStyle w:val="MdParagraph"/>
      </w:pPr>
      <w:r>
        <w:t xml:space="preserve">Historical Foundations (Chapter 1): Unpacking early Joseon bilateralism and the mid-Joseon structural turn toward agnatic primogeniture.</w:t>
      </w:r>
    </w:p>
    <w:p>
      <w:pPr>
        <w:pStyle w:val="MdSpace"/>
        <w:spacing w:before="0" w:after="60"/>
      </w:pPr>
    </w:p>
    <w:p>
      <w:pPr>
        <w:pStyle w:val="MdParagraph"/>
      </w:pPr>
      <w:r>
        <w:t xml:space="preserve">Modern Disruption (Chapter 2): Examining Japanese colonial codification, wartime survivalism, and the rise of the urban male-breadwinner family.</w:t>
      </w:r>
    </w:p>
    <w:p>
      <w:pPr>
        <w:pStyle w:val="MdSpace"/>
        <w:spacing w:before="0" w:after="60"/>
      </w:pPr>
    </w:p>
    <w:p>
      <w:pPr>
        <w:pStyle w:val="MdParagraph"/>
      </w:pPr>
      <w:r>
        <w:t xml:space="preserve">Legal Deconstruction (Chapter 3): Analyzing the legal mechanics of the Hoju system, the landmark 2005 Constitutional Court ruling, and the shift to individual-based civil registries.</w:t>
      </w:r>
    </w:p>
    <w:p>
      <w:pPr>
        <w:pStyle w:val="MdSpace"/>
        <w:spacing w:before="0" w:after="60"/>
      </w:pPr>
    </w:p>
    <w:p>
      <w:pPr>
        <w:pStyle w:val="MdParagraph"/>
      </w:pPr>
      <w:r>
        <w:t xml:space="preserve">Labor &amp; The Double Burden (Chapter 4): Deconstructing the educational paradox, the mechanics of the female M-Curve, and the structural causes of the gender wage gap.</w:t>
      </w:r>
    </w:p>
    <w:p>
      <w:pPr>
        <w:pStyle w:val="MdSpace"/>
        <w:spacing w:before="0" w:after="60"/>
      </w:pPr>
    </w:p>
    <w:p>
      <w:pPr>
        <w:pStyle w:val="MdParagraph"/>
      </w:pPr>
      <w:r>
        <w:t xml:space="preserve">Demographic Implosion (Chapter 5): Investigating the socio-economic drivers behind the world's lowest fertility rates, the rise of single-person households (Honjok), and the transformation of elder care.</w:t>
      </w:r>
    </w:p>
    <w:p>
      <w:pPr>
        <w:pStyle w:val="MdSpace"/>
        <w:spacing w:before="0" w:after="60"/>
      </w:pPr>
    </w:p>
    <w:p>
      <w:pPr>
        <w:pStyle w:val="MdParagraph"/>
      </w:pPr>
      <w:r>
        <w:t xml:space="preserve">Generational Fractures &amp; Future Contracts (Chapter 6): Analyzing asymmetric gender anxieties among young cohorts, evaluating emerging non-traditional family models, and outlining requirements for an adaptive social contract.</w:t>
      </w:r>
    </w:p>
    <w:p>
      <w:pPr>
        <w:pStyle w:val="MdSpace"/>
        <w:spacing w:before="0" w:after="60"/>
      </w:pPr>
    </w:p>
    <w:p>
      <w:pPr>
        <w:pStyle w:val="Heading1"/>
        <w:pStyle w:val="MdHeading1"/>
      </w:pPr>
      <w:r>
        <w:t xml:space="preserve">CHAPTER 1: The Confucian Foundation &amp; The Construction of Patrilineal Order</w:t>
      </w:r>
    </w:p>
    <w:p>
      <w:pPr>
        <w:pStyle w:val="MdParagraph"/>
      </w:pPr>
      <w:r>
        <w:t xml:space="preserve">Extensive historical, legal, and anthropological research reveals that during the Koryo Dynasty (918–1392) and the early centuries of the Joseon Dynasty (15th to mid-16th centuries), Korean kinship organization was substantially bilateral—giving roughly equal weight and status to both maternal and paternal bloodlines.</w:t>
      </w:r>
    </w:p>
    <w:p>
      <w:pPr>
        <w:pStyle w:val="MdSpace"/>
        <w:spacing w:before="0" w:after="60"/>
      </w:pPr>
    </w:p>
    <w:p>
      <w:pPr>
        <w:pStyle w:val="MdListItem"/>
        <w:numPr>
          <w:ilvl w:val="0"/>
          <w:numId w:val="2"/>
        </w:numPr>
      </w:pPr>
      <w:r>
        <w:t xml:space="preserve">Equal Partible Inheritance (Gyunbun Sangsok)</w:t>
        <w:br/>
        <w:t xml:space="preserve">Under early Joseon legal codes, including the Gyeongguk Daejeon (National Code), property was distributed equally among all siblings. Daughters—even after marriage—retained full property rights over their inherited estates, maintaining independent economic security throughout their adult lives.</w:t>
      </w:r>
    </w:p>
    <w:p>
      <w:pPr>
        <w:pStyle w:val="MdSpace"/>
        <w:spacing w:before="0" w:after="60"/>
      </w:pPr>
    </w:p>
    <w:p>
      <w:pPr>
        <w:pStyle w:val="MdParagraph"/>
      </w:pPr>
      <w:r>
        <w:t xml:space="preserve">A prominent historical illustration is found in the 1566 Property Division Record (Hwahoe Mungi) of the renowned Neo-Confucian scholar Yi I (Yulgok) and his siblings. The seven children of Lady Shin Saimdang (four sons and three daughters) divided their parents' land and assets in precise equal proportions. Yi I, despite his intellectual prominence as the third son, received the exact same share as his married sisters.</w:t>
      </w:r>
    </w:p>
    <w:p>
      <w:pPr>
        <w:pStyle w:val="MdSpace"/>
        <w:spacing w:before="0" w:after="60"/>
      </w:pPr>
    </w:p>
    <w:p>
      <w:pPr>
        <w:pStyle w:val="MdListItem"/>
        <w:numPr>
          <w:ilvl w:val="0"/>
          <w:numId w:val="2"/>
        </w:numPr>
      </w:pPr>
      <w:r>
        <w:t xml:space="preserve">Uxorilocal Residence (Seoryu Buga-hon)</w:t>
        <w:br/>
        <w:t xml:space="preserve">The standard marital residence pattern in early Joseon was Seoryu Buga-hon (literally, "the son-in-law stays at the bride’s home"). Upon marriage, the groom moved into the bride’s household, often remaining there for extended periods—sometimes until their own children reached adulthood.</w:t>
      </w:r>
    </w:p>
    <w:p>
      <w:pPr>
        <w:pStyle w:val="MdSpace"/>
        <w:spacing w:before="0" w:after="60"/>
      </w:pPr>
    </w:p>
    <w:p>
      <w:pPr>
        <w:pStyle w:val="MdParagraph"/>
      </w:pPr>
      <w:r>
        <w:t xml:space="preserve">This practice anchored women firmly within their natal family’s emotional, social, and economic protection, preventing the domestic isolation and extreme subservience that characterized later periods.</w:t>
      </w:r>
    </w:p>
    <w:p>
      <w:pPr>
        <w:pStyle w:val="MdSpace"/>
        <w:spacing w:before="0" w:after="60"/>
      </w:pPr>
    </w:p>
    <w:p>
      <w:pPr>
        <w:pStyle w:val="MdListItem"/>
        <w:numPr>
          <w:ilvl w:val="0"/>
          <w:numId w:val="2"/>
        </w:numPr>
      </w:pPr>
      <w:r>
        <w:t xml:space="preserve">Rotational Ancestral Rites (Yunhoe Bongsa)</w:t>
        <w:br/>
        <w:t xml:space="preserve">Ancestral veneration rites (Jesa) were not the exclusive monopoly of the eldest son. Sons and daughters took turns hosting annual memorial rituals (Yunhoe Bongsa), or divided the ancestral lineages among themselves (Bunhal Bongsa). Furthermore, in the absence of sons, daughters or maternal grandsons (Oeson Bongsa) routinely officiated ancestral rites without social stigma.</w:t>
      </w:r>
    </w:p>
    <w:p>
      <w:pPr>
        <w:pStyle w:val="MdSpace"/>
        <w:spacing w:before="0" w:after="60"/>
      </w:pPr>
    </w:p>
    <w:p>
      <w:pPr>
        <w:pStyle w:val="Heading3"/>
        <w:pStyle w:val="MdHeading3"/>
      </w:pPr>
      <w:r>
        <w:t xml:space="preserve">1.2 The Post-War Crisis and the Orthodoxy of Zhu Xi Neo-Confucianism</w:t>
      </w:r>
    </w:p>
    <w:p>
      <w:pPr>
        <w:pStyle w:val="MdParagraph"/>
      </w:pPr>
      <w:r>
        <w:t xml:space="preserve">This balanced, bilateral kinship arrangement underwent a systemic dismantling during the 17th and 18th centuries. The catalyst for this profound civilizational transformation was the catastrophic disruption caused by successive foreign invasions: The Imjin War (Japanese invasions, 1592–1598) and The Manchu Invasions (1627–1636).</w:t>
      </w:r>
    </w:p>
    <w:p>
      <w:pPr>
        <w:pStyle w:val="MdSpace"/>
        <w:spacing w:before="0" w:after="60"/>
      </w:pPr>
    </w:p>
    <w:p>
      <w:pPr>
        <w:pStyle w:val="MdParagraph"/>
      </w:pPr>
      <w:r>
        <w:t xml:space="preserve">Faced with devastated agricultural production, empty state coffers, and severe erosion of social stratification between the noble elite (Yangban) and commoners, the ruling elite sought to stabilize the state by imposing a rigid, orthodox reading of Zhu Xi Neo-Confucianism.</w:t>
      </w:r>
    </w:p>
    <w:p>
      <w:pPr>
        <w:pStyle w:val="MdSpace"/>
        <w:spacing w:before="0" w:after="60"/>
      </w:pPr>
    </w:p>
    <w:p>
      <w:pPr>
        <w:pStyle w:val="MdParagraph"/>
      </w:pPr>
      <w:r>
        <w:t xml:space="preserve">The elite argued that national disorder stemmed from moral laxity and loose household boundaries. To re-establish cosmic and political equilibrium, they mandated strict adherence to Zhu Xi’s Family Rituals (Jujagarye, 朱子家禮), restructuring the entire social architecture around exclusive agnatic (male-lineage) descent lines.</w:t>
      </w:r>
    </w:p>
    <w:p>
      <w:pPr>
        <w:pStyle w:val="MdSpace"/>
        <w:spacing w:before="0" w:after="60"/>
      </w:pPr>
    </w:p>
    <w:p>
      <w:pPr>
        <w:pStyle w:val="Heading3"/>
        <w:pStyle w:val="MdHeading3"/>
      </w:pPr>
      <w:r>
        <w:t xml:space="preserve">1.3 Agnatic Primogeniture, Clan Genealogy (Jokbo), and Ancestral Monopoly</w:t>
      </w:r>
    </w:p>
    <w:p>
      <w:pPr>
        <w:pStyle w:val="MdParagraph"/>
      </w:pPr>
      <w:r>
        <w:t xml:space="preserve">By the mid-to-late 18th century, the legal and social codes of Joseon had institutionalized a sweeping shift toward Patrilineal Primogeniture (Jeokjangja Supremacy).</w:t>
      </w:r>
    </w:p>
    <w:p>
      <w:pPr>
        <w:pStyle w:val="MdSpace"/>
        <w:spacing w:before="0" w:after="60"/>
      </w:pPr>
    </w:p>
    <w:p>
      <w:pPr>
        <w:pStyle w:val="MdListItem"/>
        <w:numPr>
          <w:ilvl w:val="0"/>
          <w:numId w:val="2"/>
        </w:numPr>
      </w:pPr>
      <w:r>
        <w:t xml:space="preserve">The Consolidation of Estate Wealth</w:t>
        <w:br/>
        <w:t xml:space="preserve">Partible inheritance was increasingly viewed by the elite as an economic liability that fragmented clan landholdings across generations. To preserve the economic and political status of elite lineages, inheritance laws were modified to funnel the vast majority of family wealth (land and ritual assets) directly to the Eldest Son (Jangnam). Second and third sons received marginal shares, while married daughters were excluded from inheritance.</w:t>
      </w:r>
    </w:p>
    <w:p>
      <w:pPr>
        <w:pStyle w:val="MdListItem"/>
        <w:numPr>
          <w:ilvl w:val="0"/>
          <w:numId w:val="2"/>
        </w:numPr>
      </w:pPr>
      <w:r>
        <w:t xml:space="preserve">The Transformation of Clan Genealogies (Jokbo)</w:t>
        <w:br/>
        <w:t xml:space="preserve">Early clan records, such as the famous Seonghwabo (1476) of the Andong Kwon clan, registered children purely according to biological birth order, proudly listing daughters, sons-in-law, and maternal grandchildren alongside sons.</w:t>
      </w:r>
    </w:p>
    <w:p>
      <w:pPr>
        <w:pStyle w:val="MdSpace"/>
        <w:spacing w:before="0" w:after="60"/>
      </w:pPr>
    </w:p>
    <w:p>
      <w:pPr>
        <w:pStyle w:val="MdParagraph"/>
      </w:pPr>
      <w:r>
        <w:t xml:space="preserve">By the 18th century, however, Jokbo registries were radically restructured: sons were listed first in order of seniority, while daughters were relegated to the margins or recorded merely as "the wife of [Son-in-Law’s Name]," structurally erasing female identity from the patrilineal record.</w:t>
      </w:r>
    </w:p>
    <w:p>
      <w:pPr>
        <w:pStyle w:val="MdSpace"/>
        <w:spacing w:before="0" w:after="60"/>
      </w:pPr>
    </w:p>
    <w:p>
      <w:pPr>
        <w:pStyle w:val="MdListItem"/>
        <w:numPr>
          <w:ilvl w:val="0"/>
          <w:numId w:val="2"/>
        </w:numPr>
      </w:pPr>
      <w:r>
        <w:t xml:space="preserve">Agnatic Adoption Restrictions (Gyehu)</w:t>
        <w:br/>
        <w:t xml:space="preserve">Under late Joseon legal mandates, if a household head died without a male heir, the family was legally forbidden from passing ritual leadership or lineage headship to a daughter or maternal grandson. The family was legally required to adopt a male child (Gyebi) exclusively from within the same agnatic clan branch (Dangnae), ensuring the unbroken continuity of the paternal Y-chromosome lineage.</w:t>
      </w:r>
    </w:p>
    <w:p>
      <w:pPr>
        <w:pStyle w:val="MdSpace"/>
        <w:spacing w:before="0" w:after="60"/>
      </w:pPr>
    </w:p>
    <w:p>
      <w:pPr>
        <w:pStyle w:val="Heading3"/>
        <w:pStyle w:val="MdHeading3"/>
      </w:pPr>
      <w:r>
        <w:t xml:space="preserve">1.4 Chulga-oein (The Outsider Norm) and the Gendered Division of Ritual Labor</w:t>
      </w:r>
    </w:p>
    <w:p>
      <w:pPr>
        <w:pStyle w:val="MdParagraph"/>
      </w:pPr>
      <w:r>
        <w:t xml:space="preserve">The institutionalization of patrilineal primogeniture profoundly diminished the social, legal, and relational autonomy of Korean women.</w:t>
      </w:r>
    </w:p>
    <w:p>
      <w:pPr>
        <w:pStyle w:val="MdSpace"/>
        <w:spacing w:before="0" w:after="60"/>
      </w:pPr>
    </w:p>
    <w:p>
      <w:pPr>
        <w:pStyle w:val="MdListItem"/>
        <w:numPr>
          <w:ilvl w:val="0"/>
          <w:numId w:val="2"/>
        </w:numPr>
      </w:pPr>
      <w:r>
        <w:t xml:space="preserve">Patrilocal Exogamy and Chulga-oein</w:t>
        <w:br/>
        <w:t xml:space="preserve">The practice of uxorilocal residence was replaced by strict Patrilocal Residence (Chin-yeong, 親迎). Upon marriage, a woman was formally transferred from her birth family to her husband's household, permanently residing under the authority of her parents-in-law (Sijip-sali).</w:t>
      </w:r>
    </w:p>
    <w:p>
      <w:pPr>
        <w:pStyle w:val="MdSpace"/>
        <w:spacing w:before="0" w:after="60"/>
      </w:pPr>
    </w:p>
    <w:p>
      <w:pPr>
        <w:pStyle w:val="MdParagraph"/>
      </w:pPr>
      <w:r>
        <w:t xml:space="preserve">She was designated as Chulga-oein (出嫁外人)—literally, "a person who has left the household and become an outsider." Stripped of inheritance from her biological parents, her domestic security in her husband's home was entirely conditional upon her ability to produce a male heir (Jeokjangja), institutionalizing extreme social pressure on female reproduction.</w:t>
      </w:r>
    </w:p>
    <w:p>
      <w:pPr>
        <w:pStyle w:val="MdSpace"/>
        <w:spacing w:before="0" w:after="60"/>
      </w:pPr>
    </w:p>
    <w:p>
      <w:pPr>
        <w:pStyle w:val="MdListItem"/>
        <w:numPr>
          <w:ilvl w:val="0"/>
          <w:numId w:val="2"/>
        </w:numPr>
      </w:pPr>
      <w:r>
        <w:t xml:space="preserve">The Ritual Division of Labor</w:t>
        <w:br/>
        <w:t xml:space="preserve">Ancestral veneration rites (Jesa and Charye) formed the core moral and spiritual duty of Confucian family life. However, these sacred rituals functioned through a deeply asymmetric gendered division of labor:</w:t>
      </w:r>
    </w:p>
    <w:p>
      <w:pPr>
        <w:pStyle w:val="MdSpace"/>
        <w:spacing w:before="0" w:after="60"/>
      </w:pPr>
    </w:p>
    <w:p>
      <w:pPr>
        <w:pStyle w:val="MdParagraph"/>
      </w:pPr>
      <w:r>
        <w:t xml:space="preserve">Male Authority: Men officiated the public proceedings, read the ceremonial elegies, bowed before the ancestral tablets, and claimed the spiritual and social prestige of honoring the lineage.</w:t>
      </w:r>
    </w:p>
    <w:p>
      <w:pPr>
        <w:pStyle w:val="MdSpace"/>
        <w:spacing w:before="0" w:after="60"/>
      </w:pPr>
    </w:p>
    <w:p>
      <w:pPr>
        <w:pStyle w:val="MdParagraph"/>
      </w:pPr>
      <w:r>
        <w:t xml:space="preserve">Female Labor: Women, led by the eldest daughter-in-law (Jongbu), were tasked with the exhausting, multi-day physical labor of preparing dozens of highly codified ceremonial food offerings, operating behind the scenes in kitchens and courtyards.</w:t>
      </w:r>
    </w:p>
    <w:p>
      <w:pPr>
        <w:pStyle w:val="MdSpace"/>
        <w:spacing w:before="0" w:after="60"/>
      </w:pPr>
    </w:p>
    <w:p>
      <w:pPr>
        <w:pStyle w:val="MdParagraph"/>
      </w:pPr>
      <w:r>
        <w:t xml:space="preserve">This structural separation—public prestige for men, unpaid domestic labor for women—remained deeply embedded in the Korean domestic consciousness, serving as the cultural root for modern holiday conflicts (Myeongjeol Syndrome) and intergenerational marital tensions well into the 21st century.</w:t>
      </w:r>
    </w:p>
    <w:p>
      <w:pPr>
        <w:pStyle w:val="MdSpace"/>
        <w:spacing w:before="0" w:after="60"/>
      </w:pPr>
    </w:p>
    <w:p>
      <w:pPr>
        <w:pStyle w:val="Heading3"/>
        <w:pStyle w:val="MdHeading3"/>
      </w:pPr>
      <w:r>
        <w:t xml:space="preserve">1.5 Filial Piety (Hyo) as Political Architecture: Isomorphism of Family and State</w:t>
      </w:r>
    </w:p>
    <w:p>
      <w:pPr>
        <w:pStyle w:val="MdParagraph"/>
      </w:pPr>
      <w:r>
        <w:t xml:space="preserve">In the Neo-Confucian governance of Joseon, Filial Piety (Hyo, 孝) was far more than an ethical guideline for personal character; it was the foundational political philosophy of state sovereignty.</w:t>
      </w:r>
    </w:p>
    <w:p>
      <w:pPr>
        <w:pStyle w:val="MdSpace"/>
        <w:spacing w:before="0" w:after="60"/>
      </w:pPr>
    </w:p>
    <w:p>
      <w:pPr>
        <w:pStyle w:val="MdListItem"/>
        <w:numPr>
          <w:ilvl w:val="0"/>
          <w:numId w:val="2"/>
        </w:numPr>
      </w:pPr>
      <w:r>
        <w:t xml:space="preserve">The Isomorphism of Family and State (Chung-Hyo Ilchi)</w:t>
        <w:br/>
        <w:t xml:space="preserve">Neo-Confucian political theory constructed the state as an expanded family and the family as a miniature state:</w:t>
      </w:r>
    </w:p>
    <w:p>
      <w:pPr>
        <w:pStyle w:val="MdSpace"/>
        <w:spacing w:before="0" w:after="60"/>
      </w:pPr>
    </w:p>
    <w:p>
      <w:pPr>
        <w:pStyle w:val="MdParagraph"/>
      </w:pPr>
      <w:r>
        <w:t xml:space="preserve">The absolute authority of the father over the household was framed as a direct reflection of the absolute authority of the King over his subjects.</w:t>
      </w:r>
    </w:p>
    <w:p>
      <w:pPr>
        <w:pStyle w:val="MdSpace"/>
        <w:spacing w:before="0" w:after="60"/>
      </w:pPr>
    </w:p>
    <w:p>
      <w:pPr>
        <w:pStyle w:val="MdParagraph"/>
      </w:pPr>
      <w:r>
        <w:t xml:space="preserve">Devotion to parents (Hyo) served as the primary psychological training ground for unconditional political loyalty (Chung, 忠) to the monarch.</w:t>
      </w:r>
    </w:p>
    <w:p>
      <w:pPr>
        <w:pStyle w:val="MdSpace"/>
        <w:spacing w:before="0" w:after="60"/>
      </w:pPr>
    </w:p>
    <w:p>
      <w:pPr>
        <w:pStyle w:val="MdParagraph"/>
      </w:pPr>
      <w:r>
        <w:t xml:space="preserve">Under the dynastic criminal code (Gyeongguk Daejeon and Daemingnyul), unfilial behavior (Bulhyo) was categorized as one of the Ten Abominations (Sip-ak)—a treasonous crime punishable by severe state penalties or execution.</w:t>
      </w:r>
    </w:p>
    <w:p>
      <w:pPr>
        <w:pStyle w:val="MdSpace"/>
        <w:spacing w:before="0" w:after="60"/>
      </w:pPr>
    </w:p>
    <w:p>
      <w:pPr>
        <w:pStyle w:val="MdListItem"/>
        <w:numPr>
          <w:ilvl w:val="0"/>
          <w:numId w:val="2"/>
        </w:numPr>
      </w:pPr>
      <w:r>
        <w:t xml:space="preserve">Familial Collectivism vs. Modern Individualism</w:t>
        <w:br/>
        <w:t xml:space="preserve">Unlike modern Western legal philosophies that position the autonomous individual with inalienable natural rights as the basic building block of society, traditional Korean culture positioned the Extended Family Lineage (Gammun) as the fundamental social atom:</w:t>
      </w:r>
    </w:p>
    <w:p>
      <w:pPr>
        <w:pStyle w:val="MdSpace"/>
        <w:spacing w:before="0" w:after="60"/>
      </w:pPr>
    </w:p>
    <w:p>
      <w:pPr>
        <w:pStyle w:val="MdParagraph"/>
      </w:pPr>
      <w:r>
        <w:t xml:space="preserve">Shared Collective Responsibility: Personal achievements or failures were never evaluated in isolation; they elevated or disgraced the reputation of the entire lineage.</w:t>
      </w:r>
    </w:p>
    <w:p>
      <w:pPr>
        <w:pStyle w:val="MdSpace"/>
        <w:spacing w:before="0" w:after="60"/>
      </w:pPr>
    </w:p>
    <w:p>
      <w:pPr>
        <w:pStyle w:val="MdParagraph"/>
      </w:pPr>
      <w:r>
        <w:t xml:space="preserve">Intergenerational Reciprocity: Parents were expected to make extreme, sacrificial investments in their children's social advancement. In reciprocal return, adult children were bound by an absolute moral contract to physically, emotionally, and financially support their parents in old age.</w:t>
      </w:r>
    </w:p>
    <w:p>
      <w:pPr>
        <w:pStyle w:val="MdSpace"/>
        <w:spacing w:before="0" w:after="60"/>
      </w:pPr>
    </w:p>
    <w:p>
      <w:pPr>
        <w:pStyle w:val="MdParagraph"/>
      </w:pPr>
      <w:r>
        <w:t xml:space="preserve">This collectivistic ethic provided a resilient survival mechanism through centuries of foreign invasions, poverty, and state collapse. However, when this framework collided with the hyper-meritocratic, urbanized capitalist economy of the late 20th and early 21st centuries, it created acute structural gridlock—setting the stage for the dramatic legal, labor, and demographic transformations examined in the chapters that follow.</w:t>
      </w:r>
    </w:p>
    <w:p>
      <w:pPr>
        <w:pStyle w:val="MdSpace"/>
        <w:spacing w:before="0" w:after="60"/>
      </w:pPr>
    </w:p>
    <w:p>
      <w:pPr>
        <w:pStyle w:val="Heading2"/>
        <w:pStyle w:val="MdHeading2"/>
      </w:pPr>
      <w:r>
        <w:t xml:space="preserve">1.6 Evidence, variation, and the limits of the historical model</w:t>
      </w:r>
    </w:p>
    <w:p>
      <w:pPr>
        <w:pStyle w:val="MdParagraph"/>
      </w:pPr>
      <w:r>
        <w:t xml:space="preserve">The historical argument requires a qualification. Early Joseon records showing daughters’ inheritance, maternal kin connections, or residence near the wife’s family do not demonstrate that gender equality existed in a modern sense. Social rank, household wealth, region, marital status, and the distinction between formal entitlement and actual possession all mattered. Nor did the later consolidation of patrilineal norms occur at one identical moment for every community. The safest interpretation is therefore one of </w:t>
      </w:r>
      <w:r>
        <w:rPr>
          <w:rStyle w:val="MdStrong"/>
          <w:b/>
          <w:bCs/>
        </w:rPr>
        <w:t xml:space="preserve">directional transformation</w:t>
      </w:r>
      <w:r>
        <w:t xml:space="preserve">: over several centuries, a more flexible kinship field was increasingly organized around agnatic descent, male ritual leadership, and the reproduction of the household line.</w:t>
      </w:r>
    </w:p>
    <w:p>
      <w:pPr>
        <w:pStyle w:val="MdSpace"/>
        <w:spacing w:before="0" w:after="60"/>
      </w:pPr>
    </w:p>
    <w:p>
      <w:pPr>
        <w:pStyle w:val="MdParagraph"/>
      </w:pPr>
      <w:r>
        <w:t xml:space="preserve">This qualification strengthens rather than weakens the argument. It prevents two opposite errors. The first is to project the late Joseon model backward and imagine that all Korean families had always been organized by the same patriarchal rules. The second is to romanticize earlier arrangements as an egalitarian golden age. Historical households were capable of giving daughters property while still arranging marriages, labor, and ritual obligations through gendered hierarchies. The analytical question is not whether one period was simply “free” and another “oppressive,” but which rights, duties, and resources were attached to which relationships.</w:t>
      </w:r>
    </w:p>
    <w:p>
      <w:pPr>
        <w:pStyle w:val="MdSpace"/>
        <w:spacing w:before="0" w:after="60"/>
      </w:pPr>
    </w:p>
    <w:p>
      <w:pPr>
        <w:pStyle w:val="MdParagraph"/>
      </w:pPr>
      <w:r>
        <w:t xml:space="preserve">[FIGURE 2 — HISTORICAL EVIDENCE MATRIX | one-third page | table with columns: source type, what it can show, what it cannot show. Include inheritance records, genealogies, legal texts, household registers, and personal narratives. Caption: “Historical sources illuminate different layers of kinship and should not be treated as interchangeable.” Source: author’s synthesis; cite the historical studies in References.]</w:t>
      </w:r>
    </w:p>
    <w:p>
      <w:pPr>
        <w:pStyle w:val="MdSpace"/>
        <w:spacing w:before="0" w:after="60"/>
      </w:pPr>
    </w:p>
    <w:p>
      <w:pPr>
        <w:pStyle w:val="Heading1"/>
        <w:pStyle w:val="MdHeading1"/>
      </w:pPr>
      <w:r>
        <w:t xml:space="preserve">CHAPTER 2: Colonial Disruption, War, and Compressed Modernization</w:t>
      </w:r>
    </w:p>
    <w:p>
      <w:pPr>
        <w:pStyle w:val="MdParagraph"/>
      </w:pPr>
      <w:r>
        <w:t xml:space="preserve">A widespread historical misconception presumes that the 20th-century patriarchal legal order was a direct, uninterrupted continuation of Joseon dynastic tradition. In legal reality, the modern administrative framework of household headship was constructed through the imposition of colonial legal mechanisms, most notably the Chosen Civil Affairs Ordinance (1912) and the Chosen Census Registration Ordinance (1923).</w:t>
      </w:r>
    </w:p>
    <w:p>
      <w:pPr>
        <w:pStyle w:val="MdSpace"/>
        <w:spacing w:before="0" w:after="60"/>
      </w:pPr>
    </w:p>
    <w:p>
      <w:pPr>
        <w:pStyle w:val="MdParagraph"/>
      </w:pPr>
      <w:r>
        <w:t xml:space="preserve">The Japanese colonial administration sought to reorganize Korean society into easily surveilled, taxable, and politically compliant administrative units. To accomplish this, the colonial state transplanted key principles of the Meiji Civil Code's Ie (Household) System:</w:t>
      </w:r>
    </w:p>
    <w:p>
      <w:pPr>
        <w:pStyle w:val="MdSpace"/>
        <w:spacing w:before="0" w:after="60"/>
      </w:pPr>
    </w:p>
    <w:p>
      <w:pPr>
        <w:pStyle w:val="MdParagraph"/>
      </w:pPr>
      <w:r>
        <w:t xml:space="preserve">Statutory Head of Household (Hoju): The colonial authorities designated an official legal head for every domestic registry unit (Hoju-jeok). This transformed informal, customary clan structures into a rigid state instrument of administrative surveillance and direct taxation.</w:t>
      </w:r>
    </w:p>
    <w:p>
      <w:pPr>
        <w:pStyle w:val="MdSpace"/>
        <w:spacing w:before="0" w:after="60"/>
      </w:pPr>
    </w:p>
    <w:p>
      <w:pPr>
        <w:pStyle w:val="MdParagraph"/>
      </w:pPr>
      <w:r>
        <w:t xml:space="preserve">Concentration of Legal Authority: The legal Hoju was granted statutory authority over family members, including formal consent rights over marriages, residences, and property transactions of household constituents.</w:t>
      </w:r>
    </w:p>
    <w:p>
      <w:pPr>
        <w:pStyle w:val="MdSpace"/>
        <w:spacing w:before="0" w:after="60"/>
      </w:pPr>
    </w:p>
    <w:p>
      <w:pPr>
        <w:pStyle w:val="MdParagraph"/>
      </w:pPr>
      <w:r>
        <w:t xml:space="preserve">Erosion of Female Civil Autonomy: While women in early and middle Joseon retained informal protections within their localized kinship networks, the colonial legal system codified women as permanent legal dependents—first subordinate to their fathers, then to their husbands, and ultimately to their sons upon widowhood.</w:t>
      </w:r>
    </w:p>
    <w:p>
      <w:pPr>
        <w:pStyle w:val="MdSpace"/>
        <w:spacing w:before="0" w:after="60"/>
      </w:pPr>
    </w:p>
    <w:p>
      <w:pPr>
        <w:pStyle w:val="MdParagraph"/>
      </w:pPr>
      <w:r>
        <w:t xml:space="preserve">Consequently, modern Korean patriarchy was not an ancient relic; it was a modernized, bureaucratized legal apparatus engineered to serve the surveillance and mobilization needs of an industrializing colonial state.</w:t>
      </w:r>
    </w:p>
    <w:p>
      <w:pPr>
        <w:pStyle w:val="MdSpace"/>
        <w:spacing w:before="0" w:after="60"/>
      </w:pPr>
    </w:p>
    <w:p>
      <w:pPr>
        <w:pStyle w:val="Heading3"/>
        <w:pStyle w:val="MdHeading3"/>
      </w:pPr>
      <w:r>
        <w:t xml:space="preserve">2.2 The Korean War and the Rise of Family Survivalism</w:t>
      </w:r>
    </w:p>
    <w:p>
      <w:pPr>
        <w:pStyle w:val="MdParagraph"/>
      </w:pPr>
      <w:r>
        <w:t xml:space="preserve">Following national liberation in 1945, the catastrophic devastation of the Korean War (1950–1953) destroyed the physical, institutional, and communal fabric of the peninsula.</w:t>
      </w:r>
    </w:p>
    <w:p>
      <w:pPr>
        <w:pStyle w:val="MdSpace"/>
        <w:spacing w:before="0" w:after="60"/>
      </w:pPr>
    </w:p>
    <w:p>
      <w:pPr>
        <w:pStyle w:val="MdParagraph"/>
      </w:pPr>
      <w:r>
        <w:t xml:space="preserve">The war produced millions of civilian casualties, displaced families, and created hundreds of thousands of war widows and orphans. Crucially, the post-war South Korean state possessed neither the fiscal revenue nor the administrative infrastructure to provide a basic public safety net.</w:t>
      </w:r>
    </w:p>
    <w:p>
      <w:pPr>
        <w:pStyle w:val="MdSpace"/>
        <w:spacing w:before="0" w:after="60"/>
      </w:pPr>
    </w:p>
    <w:p>
      <w:pPr>
        <w:pStyle w:val="MdParagraph"/>
      </w:pPr>
      <w:r>
        <w:t xml:space="preserve">In this institutional vacuum, survival required a specific sociological orientation: Familial Survivalism (Gajok Saengjon-juui):</w:t>
      </w:r>
    </w:p>
    <w:p>
      <w:pPr>
        <w:pStyle w:val="MdSpace"/>
        <w:spacing w:before="0" w:after="60"/>
      </w:pPr>
    </w:p>
    <w:p>
      <w:pPr>
        <w:pStyle w:val="MdParagraph"/>
      </w:pPr>
      <w:r>
        <w:t xml:space="preserve">The Family as Welfare State: Because public assistance, unemployment insurance, and universal pensions were non-existent, the household unit served as the sole provider of social insurance, healthcare, housing, and elderly care.</w:t>
      </w:r>
    </w:p>
    <w:p>
      <w:pPr>
        <w:pStyle w:val="MdSpace"/>
        <w:spacing w:before="0" w:after="60"/>
      </w:pPr>
    </w:p>
    <w:p>
      <w:pPr>
        <w:pStyle w:val="MdParagraph"/>
      </w:pPr>
      <w:r>
        <w:t xml:space="preserve">Selective Educational Investment: In agrarian and urban working-class households with limited financial capital, families made calculated collective investments. Families routinely pooled their meager resources to finance the higher education of a single promising son—typically the eldest—relying on his future earning power to elevate the entire household out of poverty.</w:t>
      </w:r>
    </w:p>
    <w:p>
      <w:pPr>
        <w:pStyle w:val="MdSpace"/>
        <w:spacing w:before="0" w:after="60"/>
      </w:pPr>
    </w:p>
    <w:p>
      <w:pPr>
        <w:pStyle w:val="MdParagraph"/>
      </w:pPr>
      <w:r>
        <w:t xml:space="preserve">The Rise of the "Sacrificial Sister": This collective investment strategy depended heavily on the unpaid or underpaid labor of female siblings. Eldest daughters frequently abandoned their own schooling to take low-wage manufacturing, service, or domestic jobs, remitting their wages back home to pay for their brothers' university tuition.</w:t>
      </w:r>
    </w:p>
    <w:p>
      <w:pPr>
        <w:pStyle w:val="MdSpace"/>
        <w:spacing w:before="0" w:after="60"/>
      </w:pPr>
    </w:p>
    <w:p>
      <w:pPr>
        <w:pStyle w:val="Heading3"/>
        <w:pStyle w:val="MdHeading3"/>
      </w:pPr>
      <w:r>
        <w:t xml:space="preserve">2.3 Compressed Industrialization and the Urban Male-Breadwinner Construct</w:t>
      </w:r>
    </w:p>
    <w:p>
      <w:pPr>
        <w:pStyle w:val="MdParagraph"/>
      </w:pPr>
      <w:r>
        <w:t xml:space="preserve">Beginning in the early 1960s, the South Korean government launched an aggressive, export-oriented industrialization drive under state-directed developmental capitalism. Over the span of three decades, millions of rural agricultural workers migrated to rapidly expanding industrial metropolises like Seoul, Incheon, Ulsan, and Busan.</w:t>
      </w:r>
    </w:p>
    <w:p>
      <w:pPr>
        <w:pStyle w:val="MdSpace"/>
        <w:spacing w:before="0" w:after="60"/>
      </w:pPr>
    </w:p>
    <w:p>
      <w:pPr>
        <w:pStyle w:val="MdParagraph"/>
      </w:pPr>
      <w:r>
        <w:t xml:space="preserve">This spatial and economic transformation shattered traditional rural village ecosystems and replaced the multi-generational agrarian clan with the Urban Nuclear Family (Haek-gajok).</w:t>
      </w:r>
    </w:p>
    <w:p>
      <w:pPr>
        <w:pStyle w:val="MdSpace"/>
        <w:spacing w:before="0" w:after="60"/>
      </w:pPr>
    </w:p>
    <w:p>
      <w:pPr>
        <w:pStyle w:val="MdParagraph"/>
      </w:pPr>
      <w:r>
        <w:t xml:space="preserve">To sustain relentless industrial growth, the developmental state and large business conglomerates (Chaebols) structured the urban economy around a strict Male-Breadwinner (Namseong Oeboli) Model:</w:t>
      </w:r>
    </w:p>
    <w:p>
      <w:pPr>
        <w:pStyle w:val="MdSpace"/>
        <w:spacing w:before="0" w:after="60"/>
      </w:pPr>
    </w:p>
    <w:p>
      <w:pPr>
        <w:pStyle w:val="MdParagraph"/>
      </w:pPr>
      <w:r>
        <w:t xml:space="preserve">The Corporate Soldier (San-eop Jeonsa): Male workers were integrated into corporate hierarchies requiring total institutional loyalty, 60-to-70-hour workweeks, mandatory after-work drinking gatherings (Hoesik), and absolute subordination to company objectives.</w:t>
      </w:r>
    </w:p>
    <w:p>
      <w:pPr>
        <w:pStyle w:val="MdSpace"/>
        <w:spacing w:before="0" w:after="60"/>
      </w:pPr>
    </w:p>
    <w:p>
      <w:pPr>
        <w:pStyle w:val="MdParagraph"/>
      </w:pPr>
      <w:r>
        <w:t xml:space="preserve">The Modern Housewife (Jeon-eop Jubu): To sustain this intense male workplace commitment, women were institutionalized as full-time domestic managers. The housewife was tasked with reproductive labor: managing household finances, preparing daily nutrition, caring for aging parents-in-law, and overseeing the academic performance of the children.</w:t>
      </w:r>
    </w:p>
    <w:p>
      <w:pPr>
        <w:pStyle w:val="MdSpace"/>
        <w:spacing w:before="0" w:after="60"/>
      </w:pPr>
    </w:p>
    <w:p>
      <w:pPr>
        <w:pStyle w:val="MdParagraph"/>
      </w:pPr>
      <w:r>
        <w:t xml:space="preserve">The High-Rise Apartment Complex: The mass construction of apartment complexes in Seoul during the late 1970s and 1980s (epitomized by developments in Gangnam, Mok-dong, and Sanggye-dong) served as the physical architecture of this new middle-class ideal.</w:t>
      </w:r>
    </w:p>
    <w:p>
      <w:pPr>
        <w:pStyle w:val="MdSpace"/>
        <w:spacing w:before="0" w:after="60"/>
      </w:pPr>
    </w:p>
    <w:p>
      <w:pPr>
        <w:pStyle w:val="Heading3"/>
        <w:pStyle w:val="MdHeading3"/>
      </w:pPr>
      <w:r>
        <w:t xml:space="preserve">2.4 Female Factory Labor (Yeogong) and the Sacrificial Maternal Ethos</w:t>
      </w:r>
    </w:p>
    <w:p>
      <w:pPr>
        <w:pStyle w:val="MdParagraph"/>
      </w:pPr>
      <w:r>
        <w:t xml:space="preserve">While the middle-class ideal celebrated the stay-at-home housewife (Jeon-eop Jubu), the economic engine of South Korea's early industrial takeoff was powered by young, working-class female laborers, known as Yeogong (여공, Factory Girls).</w:t>
      </w:r>
    </w:p>
    <w:p>
      <w:pPr>
        <w:pStyle w:val="MdSpace"/>
        <w:spacing w:before="0" w:after="60"/>
      </w:pPr>
    </w:p>
    <w:p>
      <w:pPr>
        <w:pStyle w:val="MdParagraph"/>
      </w:pPr>
      <w:r>
        <w:t xml:space="preserve">Throughout the 1960s and 1970s, light manufacturing sectors—such as textiles, apparel, footwear, and consumer electronics assembly—relied on the cheap, disciplined labor of young women aged 16 to 24:</w:t>
      </w:r>
    </w:p>
    <w:p>
      <w:pPr>
        <w:pStyle w:val="MdSpace"/>
        <w:spacing w:before="0" w:after="60"/>
      </w:pPr>
    </w:p>
    <w:p>
      <w:pPr>
        <w:pStyle w:val="MdParagraph"/>
      </w:pPr>
      <w:r>
        <w:t xml:space="preserve">Severe Working Conditions: In industrial hubs such as the Guro Industrial Complex and the Peace Market (Pyeonghwa Sijang) in Seoul, young women worked 14 to 16 hours a day in cramped, poorly ventilated attics and factory floors, exposed to toxic dust and chemical fumes.</w:t>
      </w:r>
    </w:p>
    <w:p>
      <w:pPr>
        <w:pStyle w:val="MdSpace"/>
        <w:spacing w:before="0" w:after="60"/>
      </w:pPr>
    </w:p>
    <w:p>
      <w:pPr>
        <w:pStyle w:val="MdParagraph"/>
      </w:pPr>
      <w:r>
        <w:t xml:space="preserve">Institutionalized Gender Wage Discrimination: Female factory workers were paid less than half the wages of their male counterparts. This wage suppression was rationalized by the patriarchal ideology that women were merely "temporary, supplementary earners" whose wages only supplemented family income until marriage.</w:t>
      </w:r>
    </w:p>
    <w:p>
      <w:pPr>
        <w:pStyle w:val="MdSpace"/>
        <w:spacing w:before="0" w:after="60"/>
      </w:pPr>
    </w:p>
    <w:p>
      <w:pPr>
        <w:pStyle w:val="MdParagraph"/>
      </w:pPr>
      <w:r>
        <w:t xml:space="preserve">Marriage-Bar Practices (Toesa Gwon-go): Corporate management enforced informal and formal "marriage bars," firing female workers the moment they married or became pregnant.</w:t>
      </w:r>
    </w:p>
    <w:p>
      <w:pPr>
        <w:pStyle w:val="MdSpace"/>
        <w:spacing w:before="0" w:after="60"/>
      </w:pPr>
    </w:p>
    <w:p>
      <w:pPr>
        <w:pStyle w:val="MdParagraph"/>
      </w:pPr>
      <w:r>
        <w:t xml:space="preserve">The Sacrificial Ethos (Hyeonmo Yangcheo)</w:t>
        <w:br/>
        <w:t xml:space="preserve">Whether as low-wage factory workers in their youth or as devoted domestic homemakers in adulthood, women during the compressed modernization era were systematically subjected to the cultural ideology of Hyeonmo Yangcheo (현모양처, Wise Mother and Good Wife).</w:t>
      </w:r>
    </w:p>
    <w:p>
      <w:pPr>
        <w:pStyle w:val="MdSpace"/>
        <w:spacing w:before="0" w:after="60"/>
      </w:pPr>
    </w:p>
    <w:p>
      <w:pPr>
        <w:pStyle w:val="MdParagraph"/>
      </w:pPr>
      <w:r>
        <w:t xml:space="preserve">Originally an imported modern concept from Meiji Japan, this ethos reframed traditional Neo-Confucian female subordination into a modern patriotic duty: a woman’s primary national service was to sacrifice personal career ambitions to nurture the next generation of productive industrial workers and support the male corporate workforce.</w:t>
      </w:r>
    </w:p>
    <w:p>
      <w:pPr>
        <w:pStyle w:val="MdSpace"/>
        <w:spacing w:before="0" w:after="60"/>
      </w:pPr>
    </w:p>
    <w:p>
      <w:pPr>
        <w:pStyle w:val="MdParagraph"/>
      </w:pPr>
      <w:r>
        <w:t xml:space="preserve">This structural contradiction—between rising educational qualifications and institutionalized domestic dependency—created the legal, social, and cultural battles that erupted at the turn of the 21st century, beginning with the historic movement to dismantle the Hoju System.</w:t>
      </w:r>
    </w:p>
    <w:p>
      <w:pPr>
        <w:pStyle w:val="MdSpace"/>
        <w:spacing w:before="0" w:after="60"/>
      </w:pPr>
    </w:p>
    <w:p>
      <w:pPr>
        <w:pStyle w:val="Heading2"/>
        <w:pStyle w:val="MdHeading2"/>
      </w:pPr>
      <w:r>
        <w:t xml:space="preserve">2.5 From legal codification to lived family survival</w:t>
      </w:r>
    </w:p>
    <w:p>
      <w:pPr>
        <w:pStyle w:val="MdParagraph"/>
      </w:pPr>
      <w:r>
        <w:t xml:space="preserve">Colonial legal codification did not simply manufacture every patriarchal practice from nothing, nor did it leave Joseon custom untouched. It selected, translated, standardized, and administratively reproduced particular forms of household authority. The result was a layered order in which local practice, Confucian vocabulary, Japanese imperial administration, and later South Korean legislation interacted. This is why the modern family register should be read as both a legal instrument and a technology of visibility: it made relationships legible to the state, but it also classified people in ways that could expose hierarchy and stigma.</w:t>
      </w:r>
    </w:p>
    <w:p>
      <w:pPr>
        <w:pStyle w:val="MdSpace"/>
        <w:spacing w:before="0" w:after="60"/>
      </w:pPr>
    </w:p>
    <w:p>
      <w:pPr>
        <w:pStyle w:val="MdParagraph"/>
      </w:pPr>
      <w:r>
        <w:t xml:space="preserve">The Korean War and the developmental state added another layer. In conditions of displacement, scarcity, and weak public welfare, family networks became practical institutions of insurance. A household could pool earnings, house migrants, educate children, and care for older relatives when markets and public programs were incomplete. The same arrangement that protected members from insecurity could also intensify expectations of obedience and sacrifice. Family survivalism was therefore not merely a sentimental attachment to tradition; it was a rational response to institutional scarcity that later became difficult to unwind.</w:t>
      </w:r>
    </w:p>
    <w:p>
      <w:pPr>
        <w:pStyle w:val="MdSpace"/>
        <w:spacing w:before="0" w:after="60"/>
      </w:pPr>
    </w:p>
    <w:p>
      <w:pPr>
        <w:pStyle w:val="MdParagraph"/>
      </w:pPr>
      <w:r>
        <w:t xml:space="preserve">[FIGURE 3 — LAYERED INSTITUTIONAL TIMELINE | full width | 1910–2020s, showing colonial registration, liberation, war, industrialization, democratization, and welfare expansion. Caption: “Modern family institutions were assembled through overlapping legal and economic periods rather than inherited unchanged from one dynasty.” Sources: colonial legal scholarship; Korean legal and statistical sources in the appendix.]</w:t>
      </w:r>
    </w:p>
    <w:p>
      <w:pPr>
        <w:pStyle w:val="MdSpace"/>
        <w:spacing w:before="0" w:after="60"/>
      </w:pPr>
    </w:p>
    <w:p>
      <w:pPr>
        <w:pStyle w:val="Heading2"/>
        <w:pStyle w:val="MdHeading2"/>
      </w:pPr>
      <w:r>
        <w:t xml:space="preserve">2.6 Women’s work and the hidden subsidy of industrialization</w:t>
      </w:r>
    </w:p>
    <w:p>
      <w:pPr>
        <w:pStyle w:val="MdParagraph"/>
      </w:pPr>
      <w:r>
        <w:t xml:space="preserve">The history of industrialization should not be told only through export figures, factory construction, or male corporate careers. It also depended on a gendered allocation of time. Young women entered factories and offices at wages that were often lower than men’s, while families and women absorbed the costs of migration, unsafe work, interrupted education, and unpaid domestic labor. Later, married women’s withdrawal from formal employment helped stabilize households when firms offered long hours and public childcare was limited. Industrial growth thus received a hidden subsidy from work that national accounts and corporate narratives did not fully value.</w:t>
      </w:r>
    </w:p>
    <w:p>
      <w:pPr>
        <w:pStyle w:val="MdSpace"/>
        <w:spacing w:before="0" w:after="60"/>
      </w:pPr>
    </w:p>
    <w:p>
      <w:pPr>
        <w:pStyle w:val="MdParagraph"/>
      </w:pPr>
      <w:r>
        <w:t xml:space="preserve">This pattern also explains why the male-breadwinner model was never a complete description of Korean households. Many families relied on women’s paid employment before marriage, after widowhood, during economic crisis, or through informal and home-based work. The model was an institutional aspiration and a hierarchy of recognition, not a universal demographic fact. A revised account should therefore distinguish between the </w:t>
      </w:r>
      <w:r>
        <w:rPr>
          <w:rStyle w:val="MdStrong"/>
          <w:b/>
          <w:bCs/>
        </w:rPr>
        <w:t xml:space="preserve">breadwinner ideal</w:t>
      </w:r>
      <w:r>
        <w:t xml:space="preserve">, the </w:t>
      </w:r>
      <w:r>
        <w:rPr>
          <w:rStyle w:val="MdStrong"/>
          <w:b/>
          <w:bCs/>
        </w:rPr>
        <w:t xml:space="preserve">income strategies households actually used</w:t>
      </w:r>
      <w:r>
        <w:t xml:space="preserve">, and the </w:t>
      </w:r>
      <w:r>
        <w:rPr>
          <w:rStyle w:val="MdStrong"/>
          <w:b/>
          <w:bCs/>
        </w:rPr>
        <w:t xml:space="preserve">care work that made both possible</w:t>
      </w:r>
      <w:r>
        <w:t xml:space="preserve">.</w:t>
      </w:r>
    </w:p>
    <w:p>
      <w:pPr>
        <w:pStyle w:val="MdSpace"/>
        <w:spacing w:before="0" w:after="60"/>
      </w:pPr>
    </w:p>
    <w:p>
      <w:pPr>
        <w:pStyle w:val="MdParagraph"/>
      </w:pPr>
      <w:r>
        <w:t xml:space="preserve">[FIGURE 4 — GENDERED ECONOMY OF INDUSTRIALIZATION | half page | flow diagram linking factory wages, household transfers, unpaid care, education investment, and urban housing. Caption: “Industrialization was sustained by paid and unpaid labor distributed across households.” Source: author’s synthesis, with labor-history references in the appendix.]</w:t>
      </w:r>
    </w:p>
    <w:p>
      <w:pPr>
        <w:pStyle w:val="MdSpace"/>
        <w:spacing w:before="0" w:after="60"/>
      </w:pPr>
    </w:p>
    <w:p>
      <w:pPr>
        <w:pStyle w:val="Heading1"/>
        <w:pStyle w:val="MdHeading1"/>
      </w:pPr>
      <w:r>
        <w:t xml:space="preserve">CHAPTER 3: The Hoju System &amp; The Architecture of Legal Transformation</w:t>
      </w:r>
    </w:p>
    <w:p>
      <w:pPr>
        <w:pStyle w:val="MdParagraph"/>
      </w:pPr>
      <w:r>
        <w:t xml:space="preserve">During the legislative drafting process, a fierce ideological battle erupted between progressive female legal scholars—led by Dr. Lee Tai-young (Korea's first female attorney)—and traditionalist Confucian elites (Yurim). Progressive jurists argued that a modern democratic republic founded on constitutional principles of human dignity and gender equality could not adopt feudal family hierarchies.</w:t>
      </w:r>
    </w:p>
    <w:p>
      <w:pPr>
        <w:pStyle w:val="MdSpace"/>
        <w:spacing w:before="0" w:after="60"/>
      </w:pPr>
    </w:p>
    <w:p>
      <w:pPr>
        <w:pStyle w:val="MdParagraph"/>
      </w:pPr>
      <w:r>
        <w:t xml:space="preserve">Conversely, conservative lawmakers insisted that preserving the patriarchal family line was essential to maintaining social order amid post-war instability.</w:t>
      </w:r>
    </w:p>
    <w:p>
      <w:pPr>
        <w:pStyle w:val="MdSpace"/>
        <w:spacing w:before="0" w:after="60"/>
      </w:pPr>
    </w:p>
    <w:p>
      <w:pPr>
        <w:pStyle w:val="MdParagraph"/>
      </w:pPr>
      <w:r>
        <w:t xml:space="preserve">The resulting 1958 Civil Code was a deeply compromised framework. While it recognized certain basic civil rights, it formally codified the Hoju System (호주제, 戶主制) into modern statutory law. Under this regime, the Hoju (Head of Family) served as the primary legal node through which all family members were registered on the municipal household census registry (Hoju-jeok).</w:t>
      </w:r>
    </w:p>
    <w:p>
      <w:pPr>
        <w:pStyle w:val="MdSpace"/>
        <w:spacing w:before="0" w:after="60"/>
      </w:pPr>
    </w:p>
    <w:p>
      <w:pPr>
        <w:pStyle w:val="Heading3"/>
        <w:pStyle w:val="MdHeading3"/>
      </w:pPr>
      <w:r>
        <w:t xml:space="preserve">3.2 Structural Contradictions and Everyday Violence of the Hoju Hierarchy</w:t>
      </w:r>
    </w:p>
    <w:p>
      <w:pPr>
        <w:pStyle w:val="MdParagraph"/>
      </w:pPr>
      <w:r>
        <w:t xml:space="preserve">The statutory mechanics of the Hoju system institutionalized extreme gender discrimination and legal absurdities under Articles 778, 781, 984, and related provisions of the Civil Code.</w:t>
      </w:r>
    </w:p>
    <w:p>
      <w:pPr>
        <w:pStyle w:val="MdSpace"/>
        <w:spacing w:before="0" w:after="60"/>
      </w:pPr>
    </w:p>
    <w:p>
      <w:pPr>
        <w:pStyle w:val="MdListItem"/>
        <w:numPr>
          <w:ilvl w:val="0"/>
          <w:numId w:val="2"/>
        </w:numPr>
      </w:pPr>
      <w:r>
        <w:t xml:space="preserve">The Primacy of Male Infancy Over Adult Female Guardianship</w:t>
        <w:br/>
        <w:t xml:space="preserve">The statutory line of Hoju succession prioritized biological sex over generation, age, and actual domestic guardianship. If a household head died:</w:t>
      </w:r>
    </w:p>
    <w:p>
      <w:pPr>
        <w:pStyle w:val="MdSpace"/>
        <w:spacing w:before="0" w:after="60"/>
      </w:pPr>
    </w:p>
    <w:p>
      <w:pPr>
        <w:pStyle w:val="MdParagraph"/>
      </w:pPr>
      <w:r>
        <w:t xml:space="preserve">A newborn male infant immediately superseded his own adult mother, grandmother, or older sisters to become the legal Head of the Family (Hoju).</w:t>
      </w:r>
    </w:p>
    <w:p>
      <w:pPr>
        <w:pStyle w:val="MdSpace"/>
        <w:spacing w:before="0" w:after="60"/>
      </w:pPr>
    </w:p>
    <w:p>
      <w:pPr>
        <w:pStyle w:val="MdParagraph"/>
      </w:pPr>
      <w:r>
        <w:t xml:space="preserve">An adult mother raising her children as the sole economic earner remained legally classified as a dependent under the nominal headship of her minor son.</w:t>
      </w:r>
    </w:p>
    <w:p>
      <w:pPr>
        <w:pStyle w:val="MdSpace"/>
        <w:spacing w:before="0" w:after="60"/>
      </w:pPr>
    </w:p>
    <w:p>
      <w:pPr>
        <w:pStyle w:val="MdListItem"/>
        <w:numPr>
          <w:ilvl w:val="0"/>
          <w:numId w:val="2"/>
        </w:numPr>
      </w:pPr>
      <w:r>
        <w:t xml:space="preserve">The Strict Paternal Surname Principle (Bu-gye Seong-ssi)</w:t>
        <w:br/>
        <w:t xml:space="preserve">Children were legally mandated to inherit solely their biological father's surname and ancestral seat (Bon-gwan). Under Article 781, no exception was granted—even in cases of paternal abandonment, severe domestic abuse, or divorce.</w:t>
      </w:r>
    </w:p>
    <w:p>
      <w:pPr>
        <w:pStyle w:val="MdListItem"/>
        <w:numPr>
          <w:ilvl w:val="0"/>
          <w:numId w:val="2"/>
        </w:numPr>
      </w:pPr>
      <w:r>
        <w:t xml:space="preserve">Administrative Stigmatization of Blended and Single-Mother Families</w:t>
        <w:br/>
        <w:t xml:space="preserve">The Hoju registry was compiled as a unified family-wide document. Whenever an individual requested a certified copy (Hojeok Deungbon) for school admissions, employment verification, or passport issuance, the document exposed the complete marital and divorce history of all registered members.</w:t>
      </w:r>
    </w:p>
    <w:p>
      <w:pPr>
        <w:pStyle w:val="MdSpace"/>
        <w:spacing w:before="0" w:after="60"/>
      </w:pPr>
    </w:p>
    <w:p>
      <w:pPr>
        <w:pStyle w:val="MdParagraph"/>
      </w:pPr>
      <w:r>
        <w:t xml:space="preserve">If a divorced mother remarried and brought her biological children into a new household, the children were legally barred from taking their stepfather's surname.</w:t>
      </w:r>
    </w:p>
    <w:p>
      <w:pPr>
        <w:pStyle w:val="MdSpace"/>
        <w:spacing w:before="0" w:after="60"/>
      </w:pPr>
    </w:p>
    <w:p>
      <w:pPr>
        <w:pStyle w:val="MdParagraph"/>
      </w:pPr>
      <w:r>
        <w:t xml:space="preserve">On official registers, the children were recorded as "cohabitants" (Donggeo-in) rather than sons or daughters, subjecting blended families and stepchildren to severe societal stigma and bureaucratic discrimination in school and workplace environments.</w:t>
      </w:r>
    </w:p>
    <w:p>
      <w:pPr>
        <w:pStyle w:val="MdSpace"/>
        <w:spacing w:before="0" w:after="60"/>
      </w:pPr>
    </w:p>
    <w:p>
      <w:pPr>
        <w:pStyle w:val="Heading3"/>
        <w:pStyle w:val="MdHeading3"/>
      </w:pPr>
      <w:r>
        <w:t xml:space="preserve">3.3 The Civil Coalition and the Landmark 2005 Constitutional Court Decision</w:t>
      </w:r>
    </w:p>
    <w:p>
      <w:pPr>
        <w:pStyle w:val="MdParagraph"/>
      </w:pPr>
      <w:r>
        <w:t xml:space="preserve">The battle to dismantle the Hoju system was one of the most sophisticated, enduring civil rights campaigns in South Korea's democratic history.</w:t>
      </w:r>
    </w:p>
    <w:p>
      <w:pPr>
        <w:pStyle w:val="MdSpace"/>
        <w:spacing w:before="0" w:after="60"/>
      </w:pPr>
    </w:p>
    <w:p>
      <w:pPr>
        <w:pStyle w:val="MdParagraph"/>
      </w:pPr>
      <w:r>
        <w:t xml:space="preserve">Beginning in the late 1990s, a broad coalition of feminist organizations (such as the Korea Women's Associations United), human rights attorneys (Minbyun), academic sociologists, and progressive civic groups united under the Citizens' Alliance for the Abolition of the Hoju System (2000).</w:t>
      </w:r>
    </w:p>
    <w:p>
      <w:pPr>
        <w:pStyle w:val="MdSpace"/>
        <w:spacing w:before="0" w:after="60"/>
      </w:pPr>
    </w:p>
    <w:p>
      <w:pPr>
        <w:pStyle w:val="MdParagraph"/>
      </w:pPr>
      <w:r>
        <w:t xml:space="preserve">The Constitutional Battle</w:t>
        <w:br/>
        <w:t xml:space="preserve">Activists bypassed stalled legislative lobbying and pursued strategic litigation, filing multiple constitutional complaints challenging Civil Code Article 778 and Article 781 (1).</w:t>
      </w:r>
    </w:p>
    <w:p>
      <w:pPr>
        <w:pStyle w:val="MdSpace"/>
        <w:spacing w:before="0" w:after="60"/>
      </w:pPr>
    </w:p>
    <w:p>
      <w:pPr>
        <w:pStyle w:val="MdParagraph"/>
      </w:pPr>
      <w:r>
        <w:t xml:space="preserve">Conservative Confucian groups (Yurim) organized mass street demonstrations, arguing that abolishing Hoju would destroy family morality, dishonor ancestors, and plunge the nation into moral chaos.</w:t>
      </w:r>
    </w:p>
    <w:p>
      <w:pPr>
        <w:pStyle w:val="MdSpace"/>
        <w:spacing w:before="0" w:after="60"/>
      </w:pPr>
    </w:p>
    <w:p>
      <w:pPr>
        <w:pStyle w:val="MdParagraph"/>
      </w:pPr>
      <w:r>
        <w:t xml:space="preserve">Feminist legal scholars countered with constitutional jurisprudence, demonstrating that the system directly violated Article 10 (Individual Dignity and Human Rights) and Article 36, Paragraph 1 (Gender Equality in Marriage and Family Life) of the 1987 Constitution.</w:t>
      </w:r>
    </w:p>
    <w:p>
      <w:pPr>
        <w:pStyle w:val="MdSpace"/>
        <w:spacing w:before="0" w:after="60"/>
      </w:pPr>
    </w:p>
    <w:p>
      <w:pPr>
        <w:pStyle w:val="MdParagraph"/>
      </w:pPr>
      <w:r>
        <w:t xml:space="preserve">The February 3, 2005 Decision (2001Hun-Ga9 et al.)</w:t>
        <w:br/>
        <w:t xml:space="preserve">On February 3, 2005, the Constitutional Court of Korea delivered a historic ruling of Non-Conformity to the Constitution (헌법불합치) against the core provisions of the Hoju system:</w:t>
      </w:r>
    </w:p>
    <w:p>
      <w:pPr>
        <w:pStyle w:val="MdSpace"/>
        <w:spacing w:before="0" w:after="60"/>
      </w:pPr>
    </w:p>
    <w:p>
      <w:pPr>
        <w:pStyle w:val="MdParagraph"/>
      </w:pPr>
      <w:r>
        <w:t xml:space="preserve">Violation of Human Dignity: The Court held that assigning family status and authority based strictly on biological sex was an unconstitutional violation of individual dignity.</w:t>
      </w:r>
    </w:p>
    <w:p>
      <w:pPr>
        <w:pStyle w:val="MdSpace"/>
        <w:spacing w:before="0" w:after="60"/>
      </w:pPr>
    </w:p>
    <w:p>
      <w:pPr>
        <w:pStyle w:val="MdParagraph"/>
      </w:pPr>
      <w:r>
        <w:t xml:space="preserve">Pluralism of Family Structures: The Court explicitly acknowledged that modern Korean families had diversified into nuclear, single-parent, and blended configurations, and that enforcing a unilateral agnatic hierarchy was anachronistic and unconstitutional.</w:t>
      </w:r>
    </w:p>
    <w:p>
      <w:pPr>
        <w:pStyle w:val="MdSpace"/>
        <w:spacing w:before="0" w:after="60"/>
      </w:pPr>
    </w:p>
    <w:p>
      <w:pPr>
        <w:pStyle w:val="MdParagraph"/>
      </w:pPr>
      <w:r>
        <w:t xml:space="preserve">Following this ruling, the National Assembly passed the Civil Code amendment abolishing the Hoju provisions on March 2, 2005 (the amended Civil Code was promulgated on March 31, 2005).</w:t>
      </w:r>
    </w:p>
    <w:p>
      <w:pPr>
        <w:pStyle w:val="MdSpace"/>
        <w:spacing w:before="0" w:after="60"/>
      </w:pPr>
    </w:p>
    <w:p>
      <w:pPr>
        <w:pStyle w:val="Heading3"/>
        <w:pStyle w:val="MdHeading3"/>
      </w:pPr>
      <w:r>
        <w:t xml:space="preserve">3.4 The 2008 Family Relation Registration Act: Institutional Individualization</w:t>
      </w:r>
    </w:p>
    <w:p>
      <w:pPr>
        <w:pStyle w:val="MdParagraph"/>
      </w:pPr>
      <w:r>
        <w:t xml:space="preserve">On January 1, 2008, the traditional Hojeok (Family Registry) was officially dismantled and replaced by the Act on Registration of Family Relations (가족관계의 등록 등에 관한 법률). This legislative milestone marked the complete institutional transition from patriarchal household registration to individualized civil status registration.</w:t>
      </w:r>
    </w:p>
    <w:p>
      <w:pPr>
        <w:pStyle w:val="MdSpace"/>
        <w:spacing w:before="0" w:after="60"/>
      </w:pPr>
    </w:p>
    <w:p>
      <w:pPr>
        <w:pStyle w:val="MdParagraph"/>
      </w:pPr>
      <w:r>
        <w:t xml:space="preserve">The Five Individual Certificates</w:t>
        <w:br/>
        <w:t xml:space="preserve">To eliminate discriminatory disclosures, the 2008 system replaced the omnibus family register with five separate, targeted individual certificates:</w:t>
      </w:r>
    </w:p>
    <w:p>
      <w:pPr>
        <w:pStyle w:val="MdSpace"/>
        <w:spacing w:before="0" w:after="60"/>
      </w:pPr>
    </w:p>
    <w:p>
      <w:pPr>
        <w:pStyle w:val="MdParagraph"/>
      </w:pPr>
      <w:r>
        <w:t xml:space="preserve">Family Relation Certificate (가족관계증명서): Records only three direct generational tiers: biological/adoptive parents, spouse, and children. (Excludes siblings and ancestral lineage).</w:t>
      </w:r>
    </w:p>
    <w:p>
      <w:pPr>
        <w:pStyle w:val="MdSpace"/>
        <w:spacing w:before="0" w:after="60"/>
      </w:pPr>
    </w:p>
    <w:p>
      <w:pPr>
        <w:pStyle w:val="MdParagraph"/>
      </w:pPr>
      <w:r>
        <w:t xml:space="preserve">Basic Certificate (기본증명서): Documents an individual's personal birth, death, legal status changes, and nationality.</w:t>
      </w:r>
    </w:p>
    <w:p>
      <w:pPr>
        <w:pStyle w:val="MdSpace"/>
        <w:spacing w:before="0" w:after="60"/>
      </w:pPr>
    </w:p>
    <w:p>
      <w:pPr>
        <w:pStyle w:val="MdParagraph"/>
      </w:pPr>
      <w:r>
        <w:t xml:space="preserve">Marriage Relation Certificate (혼인관계증명서): Records marital status and divorce history for the individual only.</w:t>
      </w:r>
    </w:p>
    <w:p>
      <w:pPr>
        <w:pStyle w:val="MdSpace"/>
        <w:spacing w:before="0" w:after="60"/>
      </w:pPr>
    </w:p>
    <w:p>
      <w:pPr>
        <w:pStyle w:val="MdParagraph"/>
      </w:pPr>
      <w:r>
        <w:t xml:space="preserve">Adoption Relation Certificate (입양관계증명서): Documents standard legal adoption records.</w:t>
      </w:r>
    </w:p>
    <w:p>
      <w:pPr>
        <w:pStyle w:val="MdSpace"/>
        <w:spacing w:before="0" w:after="60"/>
      </w:pPr>
    </w:p>
    <w:p>
      <w:pPr>
        <w:pStyle w:val="MdParagraph"/>
      </w:pPr>
      <w:r>
        <w:t xml:space="preserve">Special Adoption Certificate (친양자입양관계증명서): Accessible only under strict judicial authorization, granting adopted children the exact legal status of biological offspring while sealing biological birth records to prevent social discrimination.</w:t>
      </w:r>
    </w:p>
    <w:p>
      <w:pPr>
        <w:pStyle w:val="MdSpace"/>
        <w:spacing w:before="0" w:after="60"/>
      </w:pPr>
    </w:p>
    <w:p>
      <w:pPr>
        <w:pStyle w:val="MdParagraph"/>
      </w:pPr>
      <w:r>
        <w:t xml:space="preserve">Revolutionary Changes in Family Law</w:t>
        <w:br/>
        <w:t xml:space="preserve">Maternal Surname Inheritance: Under revised Civil Code Article 781 (1), parents may agree at the time of marriage registration to pass the mother's surname and ancestral seat to their children.</w:t>
      </w:r>
    </w:p>
    <w:p>
      <w:pPr>
        <w:pStyle w:val="MdSpace"/>
        <w:spacing w:before="0" w:after="60"/>
      </w:pPr>
    </w:p>
    <w:p>
      <w:pPr>
        <w:pStyle w:val="MdParagraph"/>
      </w:pPr>
      <w:r>
        <w:t xml:space="preserve">Surname Change for Stepchildren: Stepfathers or mothers can petition the Family Court to alter a minor child’s surname to match the custodial family unit when it serves the child's psychological welfare.</w:t>
      </w:r>
    </w:p>
    <w:p>
      <w:pPr>
        <w:pStyle w:val="MdSpace"/>
        <w:spacing w:before="0" w:after="60"/>
      </w:pPr>
    </w:p>
    <w:p>
      <w:pPr>
        <w:pStyle w:val="MdParagraph"/>
      </w:pPr>
      <w:r>
        <w:t xml:space="preserve">Judicial Gender Equality: Property division upon divorce, child custody rights, and parental authority (Chin-gwon) were legally re-anchored to gender-neutral principles of economic contribution and child welfare.</w:t>
      </w:r>
    </w:p>
    <w:p>
      <w:pPr>
        <w:pStyle w:val="MdSpace"/>
        <w:spacing w:before="0" w:after="60"/>
      </w:pPr>
    </w:p>
    <w:p>
      <w:pPr>
        <w:pStyle w:val="MdParagraph"/>
      </w:pPr>
      <w:r>
        <w:t xml:space="preserve">Institutional Progress vs. Sociological Inertia</w:t>
        <w:br/>
        <w:t xml:space="preserve">The legal deconstruction of the Hoju system was a monumental democratic achievement that erased patriarchal headship from statutory law. However, legal transformation did not instantly eliminate decades of entrenched corporate practices and domestic division of labor.</w:t>
      </w:r>
    </w:p>
    <w:p>
      <w:pPr>
        <w:pStyle w:val="MdSpace"/>
        <w:spacing w:before="0" w:after="60"/>
      </w:pPr>
    </w:p>
    <w:p>
      <w:pPr>
        <w:pStyle w:val="MdParagraph"/>
      </w:pPr>
      <w:r>
        <w:t xml:space="preserve">As South Korean women achieved full legal equality and unprecedented educational milestones, they collided directly with rigid workplace cultures and intensive domestic expectations—the structural dynamic examined in Chapter 4.</w:t>
      </w:r>
    </w:p>
    <w:p>
      <w:pPr>
        <w:pStyle w:val="MdSpace"/>
        <w:spacing w:before="0" w:after="60"/>
      </w:pPr>
    </w:p>
    <w:p>
      <w:pPr>
        <w:pStyle w:val="Heading2"/>
        <w:pStyle w:val="MdHeading2"/>
      </w:pPr>
      <w:r>
        <w:t xml:space="preserve">3.5 What legal individualization changed—and what it did not</w:t>
      </w:r>
    </w:p>
    <w:p>
      <w:pPr>
        <w:pStyle w:val="MdParagraph"/>
      </w:pPr>
      <w:r>
        <w:t xml:space="preserve">The abolition of the Hoju system was a major institutional shift because it changed the state’s basic unit of family registration. A person no longer needed to appear as a subordinate member of a legally headed household in order to have civil status. The new system also made it possible to limit the disclosure of sensitive family information by separating certificates according to purpose. These changes mattered in schools, workplaces, courts, and everyday interactions with public administration.</w:t>
      </w:r>
    </w:p>
    <w:p>
      <w:pPr>
        <w:pStyle w:val="MdSpace"/>
        <w:spacing w:before="0" w:after="60"/>
      </w:pPr>
    </w:p>
    <w:p>
      <w:pPr>
        <w:pStyle w:val="MdParagraph"/>
      </w:pPr>
      <w:r>
        <w:t xml:space="preserve">Legal individualization did not, however, make all family relationships equal overnight. Surname practices, inheritance expectations, custody disputes, welfare eligibility, and social judgments continued to be shaped by older norms. Nor should the five certificates be described as a complete privacy regime: each certificate still discloses legally relevant information, and access rules vary according to the applicant and purpose. The important point is institutional direction. The register moved from a household-centered architecture toward a person-centered architecture, while social life remained relational and often unequal.</w:t>
      </w:r>
    </w:p>
    <w:p>
      <w:pPr>
        <w:pStyle w:val="MdSpace"/>
        <w:spacing w:before="0" w:after="60"/>
      </w:pPr>
    </w:p>
    <w:p>
      <w:pPr>
        <w:pStyle w:val="MdParagraph"/>
      </w:pPr>
      <w:r>
        <w:t xml:space="preserve">[FIGURE 5 — BEFORE/AFTER REGISTRATION ARCHITECTURE | full page | visual comparison of household node versus person-centered certificates. Caption: “The reform changed the administrative grammar of family without erasing social hierarchy.” Source: Act on Registration of Family Relations and Korean legal commentary.]</w:t>
      </w:r>
    </w:p>
    <w:p>
      <w:pPr>
        <w:pStyle w:val="MdSpace"/>
        <w:spacing w:before="0" w:after="60"/>
      </w:pPr>
    </w:p>
    <w:p>
      <w:pPr>
        <w:pStyle w:val="MdParagraph"/>
      </w:pPr>
      <w:r>
        <w:t xml:space="preserve">[FIGURE 6 — LEGAL REFORM TIMELINE | one-third page | 1958 Civil Act, 1989 revision, constitutional litigation, 2005 decision and amendments, 2008 registration system. Caption: “Legal transformation unfolded through successive amendments and institutional implementation.” Sources: KLRI Civil Act; Constitutional Court and NHRC materials.]</w:t>
      </w:r>
    </w:p>
    <w:p>
      <w:pPr>
        <w:pStyle w:val="MdSpace"/>
        <w:spacing w:before="0" w:after="60"/>
      </w:pPr>
    </w:p>
    <w:p>
      <w:pPr>
        <w:pStyle w:val="Heading1"/>
        <w:pStyle w:val="MdHeading1"/>
      </w:pPr>
      <w:r>
        <w:t xml:space="preserve">CHAPTER 4: Women in the Workforce &amp; The Double Burden</w:t>
      </w:r>
    </w:p>
    <w:p>
      <w:pPr>
        <w:pStyle w:val="MdParagraph"/>
      </w:pPr>
      <w:r>
        <w:t xml:space="preserve">By the late 2000s, female higher education enrollment surpassed that of males. Throughout the 2010s and 2020s, the tertiary education attainment rate for young women aged 25 to 34 exceeded 75%, ranking at the top of the OECD. Young women consistently demonstrated parity and often superiority in competitive university admissions, national civil service examinations (Gosi), medical school placements, and bar examinations.</w:t>
      </w:r>
    </w:p>
    <w:p>
      <w:pPr>
        <w:pStyle w:val="MdSpace"/>
        <w:spacing w:before="0" w:after="60"/>
      </w:pPr>
    </w:p>
    <w:p>
      <w:pPr>
        <w:pStyle w:val="MdParagraph"/>
      </w:pPr>
      <w:r>
        <w:t xml:space="preserve">However, when these credentialed women enter the corporate labor market, they encounter an institutional environment still organized around the 20th-century male-breadwinner framework established during the industrialization era.</w:t>
      </w:r>
    </w:p>
    <w:p>
      <w:pPr>
        <w:pStyle w:val="MdSpace"/>
        <w:spacing w:before="0" w:after="60"/>
      </w:pPr>
    </w:p>
    <w:p>
      <w:pPr>
        <w:pStyle w:val="MdParagraph"/>
      </w:pPr>
      <w:r>
        <w:t xml:space="preserve">While recruitment at entry levels has approached parity, female retention and advancement deteriorate sharply over the life course. South Korea persistently registers an OECD-leading gender wage gap of approximately 29% (2023-2024), alongside single-digit female representation on corporate boards and executive committees.</w:t>
      </w:r>
    </w:p>
    <w:p>
      <w:pPr>
        <w:pStyle w:val="MdSpace"/>
        <w:spacing w:before="0" w:after="60"/>
      </w:pPr>
    </w:p>
    <w:p>
      <w:pPr>
        <w:pStyle w:val="Heading3"/>
        <w:pStyle w:val="MdHeading3"/>
      </w:pPr>
      <w:r>
        <w:t xml:space="preserve">4.2 Deconstructing the Korean Female M-Curve and Career Interruption (Gyeongdan)</w:t>
      </w:r>
    </w:p>
    <w:p>
      <w:pPr>
        <w:pStyle w:val="MdParagraph"/>
      </w:pPr>
      <w:r>
        <w:t xml:space="preserve">In most advanced industrial economies, female labor force participation across the life cycle follows an Inverted-U Curve: women enter the workforce in their early twenties, maintain steady employment through their thirties and forties due to state-supported childcare and flexible work options, and gradually retire in their late fifties or sixties.</w:t>
      </w:r>
    </w:p>
    <w:p>
      <w:pPr>
        <w:pStyle w:val="MdSpace"/>
        <w:spacing w:before="0" w:after="60"/>
      </w:pPr>
    </w:p>
    <w:p>
      <w:pPr>
        <w:pStyle w:val="MdParagraph"/>
      </w:pPr>
      <w:r>
        <w:t xml:space="preserve">In South Korea, female labor force participation historically formed a pronounced M-Curve, characterized by a deep dip during prime childbearing and child-rearing years.</w:t>
      </w:r>
    </w:p>
    <w:p>
      <w:pPr>
        <w:pStyle w:val="MdSpace"/>
        <w:spacing w:before="0" w:after="60"/>
      </w:pPr>
    </w:p>
    <w:p>
      <w:pPr>
        <w:pStyle w:val="MdListItem"/>
        <w:numPr>
          <w:ilvl w:val="0"/>
          <w:numId w:val="2"/>
        </w:numPr>
      </w:pPr>
      <w:r>
        <w:t xml:space="preserve">The Exit Phase (Ages 30–39): Gyeongdan-nyeo</w:t>
        <w:br/>
        <w:t xml:space="preserve">As women enter their early thirties, marriage, childbirth, and early child care trigger widespread departures from the formal labor market. This institutional exit is captured by the sociological term Gyeongdan-nyeo (경단녀, Career-Interrupted Women).</w:t>
      </w:r>
    </w:p>
    <w:p>
      <w:pPr>
        <w:pStyle w:val="MdSpace"/>
        <w:spacing w:before="0" w:after="60"/>
      </w:pPr>
    </w:p>
    <w:p>
      <w:pPr>
        <w:pStyle w:val="MdParagraph"/>
      </w:pPr>
      <w:r>
        <w:t xml:space="preserve">This exit is driven not by personal preference for domesticity, but by institutional barriers: rigid working hours, lack of flexible scheduling, career penalties for taking parental leave, and the absence of dependable infant care networks.</w:t>
      </w:r>
    </w:p>
    <w:p>
      <w:pPr>
        <w:pStyle w:val="MdSpace"/>
        <w:spacing w:before="0" w:after="60"/>
      </w:pPr>
    </w:p>
    <w:p>
      <w:pPr>
        <w:pStyle w:val="MdListItem"/>
        <w:numPr>
          <w:ilvl w:val="0"/>
          <w:numId w:val="2"/>
        </w:numPr>
      </w:pPr>
      <w:r>
        <w:t xml:space="preserve">The Re-Entry Phase (Ages 40+): Downward Occupational Mobility</w:t>
        <w:br/>
        <w:t xml:space="preserve">When women attempt to re-enter the labor market in their late thirties or forties after their children enter primary school, the labor market exhibits extreme dualism:</w:t>
      </w:r>
    </w:p>
    <w:p>
      <w:pPr>
        <w:pStyle w:val="MdSpace"/>
        <w:spacing w:before="0" w:after="60"/>
      </w:pPr>
    </w:p>
    <w:p>
      <w:pPr>
        <w:pStyle w:val="MdParagraph"/>
      </w:pPr>
      <w:r>
        <w:t xml:space="preserve">The corporate tenure track and managerial promotion ladders are closed to those with career gaps.</w:t>
      </w:r>
    </w:p>
    <w:p>
      <w:pPr>
        <w:pStyle w:val="MdSpace"/>
        <w:spacing w:before="0" w:after="60"/>
      </w:pPr>
    </w:p>
    <w:p>
      <w:pPr>
        <w:pStyle w:val="MdParagraph"/>
      </w:pPr>
      <w:r>
        <w:t xml:space="preserve">Re-entry occurs predominantly through non-standard, part-time, temporary, or low-wage service sector employment.</w:t>
      </w:r>
    </w:p>
    <w:p>
      <w:pPr>
        <w:pStyle w:val="MdSpace"/>
        <w:spacing w:before="0" w:after="60"/>
      </w:pPr>
    </w:p>
    <w:p>
      <w:pPr>
        <w:pStyle w:val="MdParagraph"/>
      </w:pPr>
      <w:r>
        <w:t xml:space="preserve">Highly qualified former professionals frequently return to work as contract administrative assistants, service workers, or hourly tutors.</w:t>
      </w:r>
    </w:p>
    <w:p>
      <w:pPr>
        <w:pStyle w:val="MdSpace"/>
        <w:spacing w:before="0" w:after="60"/>
      </w:pPr>
    </w:p>
    <w:p>
      <w:pPr>
        <w:pStyle w:val="MdParagraph"/>
      </w:pPr>
      <w:r>
        <w:t xml:space="preserve">This structural trajectory depresses women's lifetime earnings, creates long-term economic dependence, and drives high poverty rates among elderly women in their post-retirement years.</w:t>
      </w:r>
    </w:p>
    <w:p>
      <w:pPr>
        <w:pStyle w:val="MdSpace"/>
        <w:spacing w:before="0" w:after="60"/>
      </w:pPr>
    </w:p>
    <w:p>
      <w:pPr>
        <w:pStyle w:val="Heading3"/>
        <w:pStyle w:val="MdHeading3"/>
      </w:pPr>
      <w:r>
        <w:t xml:space="preserve">4.3 Intensive Motherhood, Hagwon Logistics, and the Domestic Imbalance</w:t>
      </w:r>
    </w:p>
    <w:p>
      <w:pPr>
        <w:pStyle w:val="MdParagraph"/>
      </w:pPr>
      <w:r>
        <w:t xml:space="preserve">Why do educated women leave the workforce despite their financial investments in higher education? Sociological research points directly to the Double Burden (Ijung-budam, 이중부담): the expectation that women perform as full-time professional earners while retaining primary responsibility for domestic management, elder care, and child-rearing.</w:t>
      </w:r>
    </w:p>
    <w:p>
      <w:pPr>
        <w:pStyle w:val="MdSpace"/>
        <w:spacing w:before="0" w:after="60"/>
      </w:pPr>
    </w:p>
    <w:p>
      <w:pPr>
        <w:pStyle w:val="MdParagraph"/>
      </w:pPr>
      <w:r>
        <w:t xml:space="preserve">Time-Use Inequality in Dual-Earner Households</w:t>
        <w:br/>
        <w:t xml:space="preserve">Data from national time-use surveys conducted by Statistics Korea demonstrates that even in dual-earner households where both partners work full-time, women perform roughly three to four times more unpaid domestic labor and childcare daily than their male spouses.</w:t>
      </w:r>
    </w:p>
    <w:p>
      <w:pPr>
        <w:pStyle w:val="MdSpace"/>
        <w:spacing w:before="0" w:after="60"/>
      </w:pPr>
    </w:p>
    <w:p>
      <w:pPr>
        <w:pStyle w:val="MdParagraph"/>
      </w:pPr>
      <w:r>
        <w:t xml:space="preserve">While younger men express ideological support for gender equality, corporate work demands—characterized by long commutes, late-night client engagements, and strict attendance tracking—frequently prevent equal domestic participation.</w:t>
      </w:r>
    </w:p>
    <w:p>
      <w:pPr>
        <w:pStyle w:val="MdSpace"/>
        <w:spacing w:before="0" w:after="60"/>
      </w:pPr>
    </w:p>
    <w:p>
      <w:pPr>
        <w:pStyle w:val="MdParagraph"/>
      </w:pPr>
      <w:r>
        <w:t xml:space="preserve">The Rise of "Intensive Motherhood" (Mok-dong Mom / Gangnam Mom)</w:t>
        <w:br/>
        <w:t xml:space="preserve">In South Korea's hyper-competitive education system, mothering evolved from basic physical care into complex managerial labor:</w:t>
      </w:r>
    </w:p>
    <w:p>
      <w:pPr>
        <w:pStyle w:val="MdSpace"/>
        <w:spacing w:before="0" w:after="60"/>
      </w:pPr>
    </w:p>
    <w:p>
      <w:pPr>
        <w:pStyle w:val="MdParagraph"/>
      </w:pPr>
      <w:r>
        <w:t xml:space="preserve">Mothers function as educational project managers, researching competitive private academies (Hagwons), arranging transportation schedules, and tracking curricular shifts.</w:t>
      </w:r>
    </w:p>
    <w:p>
      <w:pPr>
        <w:pStyle w:val="MdSpace"/>
        <w:spacing w:before="0" w:after="60"/>
      </w:pPr>
    </w:p>
    <w:p>
      <w:pPr>
        <w:pStyle w:val="MdParagraph"/>
      </w:pPr>
      <w:r>
        <w:t xml:space="preserve">The social standing of the family is tied to the child's academic performance, turning intensive maternal oversight into a moral and familial imperative.</w:t>
      </w:r>
    </w:p>
    <w:p>
      <w:pPr>
        <w:pStyle w:val="MdSpace"/>
        <w:spacing w:before="0" w:after="60"/>
      </w:pPr>
    </w:p>
    <w:p>
      <w:pPr>
        <w:pStyle w:val="MdParagraph"/>
      </w:pPr>
      <w:r>
        <w:t xml:space="preserve">When a dual-earner couple faces the logistical impossibility of balancing corporate workplace demands with the intensive requirements of Korea's educational environment, the lower-earning partner—almost invariably the woman, due to the gender wage gap—faces structural pressure to withdraw from her career.</w:t>
      </w:r>
    </w:p>
    <w:p>
      <w:pPr>
        <w:pStyle w:val="MdSpace"/>
        <w:spacing w:before="0" w:after="60"/>
      </w:pPr>
    </w:p>
    <w:p>
      <w:pPr>
        <w:pStyle w:val="Heading3"/>
        <w:pStyle w:val="MdHeading3"/>
      </w:pPr>
      <w:r>
        <w:t xml:space="preserve">4.4 Policy Interventions, Parental Leave Mandates, and the Implementation Gap</w:t>
      </w:r>
    </w:p>
    <w:p>
      <w:pPr>
        <w:pStyle w:val="MdParagraph"/>
      </w:pPr>
      <w:r>
        <w:t xml:space="preserve">To mitigate this structural bottleneck and reverse declining fertility trends, successive South Korean administrations introduced comprehensive statutory family support policies:</w:t>
      </w:r>
    </w:p>
    <w:p>
      <w:pPr>
        <w:pStyle w:val="MdSpace"/>
        <w:spacing w:before="0" w:after="60"/>
      </w:pPr>
    </w:p>
    <w:p>
      <w:pPr>
        <w:pStyle w:val="MdParagraph"/>
      </w:pPr>
      <w:r>
        <w:t xml:space="preserve">Statutory Parental Leave (Yuk-a Hyu-jik): Employees with children under age eight are legally entitled to up to one year of parental leave per parent, supported by government wage-replacement subsidies.</w:t>
      </w:r>
    </w:p>
    <w:p>
      <w:pPr>
        <w:pStyle w:val="MdSpace"/>
        <w:spacing w:before="0" w:after="60"/>
      </w:pPr>
    </w:p>
    <w:p>
      <w:pPr>
        <w:pStyle w:val="MdParagraph"/>
      </w:pPr>
      <w:r>
        <w:t xml:space="preserve">Paternal Leave Incentives (The "3+3" and "6+6" Schemes): Policy reforms engineered to raise wage-replacement caps when both parents take leave sequentially or concurrently during the child's first year.</w:t>
      </w:r>
    </w:p>
    <w:p>
      <w:pPr>
        <w:pStyle w:val="MdSpace"/>
        <w:spacing w:before="0" w:after="60"/>
      </w:pPr>
    </w:p>
    <w:p>
      <w:pPr>
        <w:pStyle w:val="MdParagraph"/>
      </w:pPr>
      <w:r>
        <w:t xml:space="preserve">Public Childcare Expansion: State capital investments expanding subsidized public daycare facilities (Gong-lip Eorinigip) to reduce early childhood care costs.</w:t>
      </w:r>
    </w:p>
    <w:p>
      <w:pPr>
        <w:pStyle w:val="MdSpace"/>
        <w:spacing w:before="0" w:after="60"/>
      </w:pPr>
    </w:p>
    <w:p>
      <w:pPr>
        <w:pStyle w:val="MdParagraph"/>
      </w:pPr>
      <w:r>
        <w:t xml:space="preserve">The Corporate Implementation Gap</w:t>
        <w:br/>
        <w:t xml:space="preserve">Despite progressive statutory frameworks, a wide gap persists between legal entitlement and workplace reality, particularly within Small and Medium Enterprises (SMEs), which employ over 80% of South Korea's workforce.</w:t>
      </w:r>
    </w:p>
    <w:p>
      <w:pPr>
        <w:pStyle w:val="MdSpace"/>
        <w:spacing w:before="0" w:after="60"/>
      </w:pPr>
    </w:p>
    <w:p>
      <w:pPr>
        <w:pStyle w:val="MdParagraph"/>
      </w:pPr>
      <w:r>
        <w:t xml:space="preserve">The Small Business Resource Deficit: Unlike large conglomerates (Chaebols), SMEs operate with lean staffing models and lack the operational budgets to hire temporary replacements for employees taking parental leave. Requesting extended leave places immediate workloads on direct colleagues, generating intense social friction.</w:t>
      </w:r>
    </w:p>
    <w:p>
      <w:pPr>
        <w:pStyle w:val="MdSpace"/>
        <w:spacing w:before="0" w:after="60"/>
      </w:pPr>
    </w:p>
    <w:p>
      <w:pPr>
        <w:pStyle w:val="MdParagraph"/>
      </w:pPr>
      <w:r>
        <w:t xml:space="preserve">The Career Penalty: Employees—particularly men—who utilize statutory parental leaves frequently experience subtle career marginalization upon return, including lateral transfers to non-strategic divisions, lower performance evaluations, or missed promotion cycles.</w:t>
      </w:r>
    </w:p>
    <w:p>
      <w:pPr>
        <w:pStyle w:val="MdSpace"/>
        <w:spacing w:before="0" w:after="60"/>
      </w:pPr>
    </w:p>
    <w:p>
      <w:pPr>
        <w:pStyle w:val="MdParagraph"/>
      </w:pPr>
      <w:r>
        <w:t xml:space="preserve">Consequently, young Korean women increasingly perceive marriage, pregnancy, and motherhood not as fulfilling milestones, but as professional risks that endanger their hard-won financial independence and personal autonomy.</w:t>
      </w:r>
    </w:p>
    <w:p>
      <w:pPr>
        <w:pStyle w:val="MdSpace"/>
        <w:spacing w:before="0" w:after="60"/>
      </w:pPr>
    </w:p>
    <w:p>
      <w:pPr>
        <w:pStyle w:val="MdParagraph"/>
      </w:pPr>
      <w:r>
        <w:t xml:space="preserve">This calculation forms the structural foundation of the marriage postponement, solo living trends, and fertility declines examined in Chapter 5.</w:t>
      </w:r>
    </w:p>
    <w:p>
      <w:pPr>
        <w:pStyle w:val="MdSpace"/>
        <w:spacing w:before="0" w:after="60"/>
      </w:pPr>
    </w:p>
    <w:p>
      <w:pPr>
        <w:pStyle w:val="Heading2"/>
        <w:pStyle w:val="MdHeading2"/>
      </w:pPr>
      <w:r>
        <w:t xml:space="preserve">4.5 Measuring the double burden without reducing it to a slogan</w:t>
      </w:r>
    </w:p>
    <w:p>
      <w:pPr>
        <w:pStyle w:val="MdParagraph"/>
      </w:pPr>
      <w:r>
        <w:t xml:space="preserve">The double burden is best understood through several measurements rather than one dramatic claim. The first is time: who performs cooking, cleaning, shopping, scheduling, transport, and direct care, and how many hours are recorded? The second is continuity: who can remain on a promotion track when family needs become unpredictable? The third is economic consequence: how do interruptions affect wages, pensions, seniority, and later-life security? A household may report that both partners “help,” while the actual distribution of routine responsibility remains highly asymmetric.</w:t>
      </w:r>
    </w:p>
    <w:p>
      <w:pPr>
        <w:pStyle w:val="MdSpace"/>
        <w:spacing w:before="0" w:after="60"/>
      </w:pPr>
    </w:p>
    <w:p>
      <w:pPr>
        <w:pStyle w:val="MdParagraph"/>
      </w:pPr>
      <w:r>
        <w:t xml:space="preserve">The M-curve is similarly useful but incomplete. It describes an aggregate age profile of women’s labor force participation; it does not prove that every woman exits work after marriage or childbirth. Cohort, education, occupation, childcare access, marital status, and employer type all shape the curve. In recent years, the curve has changed as women’s education and employment patterns have shifted, but a changed aggregate curve does not necessarily mean that the underlying penalties have disappeared. Some women remain employed while moving into less secure work, declining promotions, or reducing hours.</w:t>
      </w:r>
    </w:p>
    <w:p>
      <w:pPr>
        <w:pStyle w:val="MdSpace"/>
        <w:spacing w:before="0" w:after="60"/>
      </w:pPr>
    </w:p>
    <w:p>
      <w:pPr>
        <w:pStyle w:val="MdParagraph"/>
      </w:pPr>
      <w:r>
        <w:t xml:space="preserve">[FIGURE 7 — FEMALE LABOR-FORCE PARTICIPATION BY AGE | full width | line chart for Korea across at least three years plus OECD comparison if definitions match. Caption: “The M-curve is an aggregate pattern whose depth and shape vary by cohort and employment definition.” Source: Statistics Korea labor-force data and OECD data; state reference years and definitions.]</w:t>
      </w:r>
    </w:p>
    <w:p>
      <w:pPr>
        <w:pStyle w:val="MdSpace"/>
        <w:spacing w:before="0" w:after="60"/>
      </w:pPr>
    </w:p>
    <w:p>
      <w:pPr>
        <w:pStyle w:val="MdParagraph"/>
      </w:pPr>
      <w:r>
        <w:t xml:space="preserve">[FIGURE 8 — UNPAID WORK AND CARE TIME | half page | paired bars by sex and household type. Caption: “Equality in paid employment does not automatically produce equality in unpaid work.” Source: Statistics Korea Time Use Survey; state survey year and sample.]</w:t>
      </w:r>
    </w:p>
    <w:p>
      <w:pPr>
        <w:pStyle w:val="MdSpace"/>
        <w:spacing w:before="0" w:after="60"/>
      </w:pPr>
    </w:p>
    <w:p>
      <w:pPr>
        <w:pStyle w:val="Heading1"/>
        <w:pStyle w:val="MdHeading1"/>
      </w:pPr>
      <w:r>
        <w:t xml:space="preserve">CHAPTER 5: The Changing Meaning of Family &amp; Demographic Implosion</w:t>
      </w:r>
    </w:p>
    <w:p>
      <w:pPr>
        <w:pStyle w:val="MdParagraph"/>
      </w:pPr>
      <w:r>
        <w:t xml:space="preserve">In contemporary South Korea, this traditional imperative has eroded. Driven by rapid urban concentration, escalating living costs, and changing personal values, young Koreans increasingly view marriage through the lens of individual autonomy, financial feasibility, and risk management rather than moral duty.</w:t>
      </w:r>
    </w:p>
    <w:p>
      <w:pPr>
        <w:pStyle w:val="MdSpace"/>
        <w:spacing w:before="0" w:after="60"/>
      </w:pPr>
    </w:p>
    <w:p>
      <w:pPr>
        <w:pStyle w:val="MdParagraph"/>
      </w:pPr>
      <w:r>
        <w:t xml:space="preserve">The Economic Threshold of Marriage</w:t>
        <w:br/>
        <w:t xml:space="preserve">The postponement and avoidance of marriage in modern South Korea is directly linked to the high upfront capital requirements of household formation:</w:t>
      </w:r>
    </w:p>
    <w:p>
      <w:pPr>
        <w:pStyle w:val="MdSpace"/>
        <w:spacing w:before="0" w:after="60"/>
      </w:pPr>
    </w:p>
    <w:p>
      <w:pPr>
        <w:pStyle w:val="MdParagraph"/>
      </w:pPr>
      <w:r>
        <w:t xml:space="preserve">The Housing Capital Hurdle: Entering marriage in South Korea traditionally requires securing an independent home, typically through the Jeonse (lump-sum deposit lease) system or outright property purchase. With metropolitan apartment prices escalating in the Greater Seoul Area, young adults face capital requirements that vastly exceed their early career savings.</w:t>
      </w:r>
    </w:p>
    <w:p>
      <w:pPr>
        <w:pStyle w:val="MdSpace"/>
        <w:spacing w:before="0" w:after="60"/>
      </w:pPr>
    </w:p>
    <w:p>
      <w:pPr>
        <w:pStyle w:val="MdParagraph"/>
      </w:pPr>
      <w:r>
        <w:t xml:space="preserve">Labor Market Dualism: The structural division between high-paying, stable primary labor markets (large conglomerates and public sector) and precarious secondary labor markets (contract and SME roles) forces young adults to spend extended years building credentials (Seup-sa-ut-gi), delaying financial stability well into their thirties.</w:t>
      </w:r>
    </w:p>
    <w:p>
      <w:pPr>
        <w:pStyle w:val="MdSpace"/>
        <w:spacing w:before="0" w:after="60"/>
      </w:pPr>
    </w:p>
    <w:p>
      <w:pPr>
        <w:pStyle w:val="MdParagraph"/>
      </w:pPr>
      <w:r>
        <w:t xml:space="preserve">The Gendered Capital Mismatch: While traditional expectations that the groom provide the core housing capital and the bride furnish the interior (Honsu) have softened toward shared financing, economic anxieties continue to deter prospective couples from entering formal unions.</w:t>
      </w:r>
    </w:p>
    <w:p>
      <w:pPr>
        <w:pStyle w:val="MdSpace"/>
        <w:spacing w:before="0" w:after="60"/>
      </w:pPr>
    </w:p>
    <w:p>
      <w:pPr>
        <w:pStyle w:val="Heading3"/>
        <w:pStyle w:val="MdHeading3"/>
      </w:pPr>
      <w:r>
        <w:t xml:space="preserve">5.2 The Exponential Growth of Single-Person Households (Honjok Culture)</w:t>
      </w:r>
    </w:p>
    <w:p>
      <w:pPr>
        <w:pStyle w:val="MdParagraph"/>
      </w:pPr>
      <w:r>
        <w:t xml:space="preserve">The re-evaluation of marriage is physically reflected in the transformation of South Korea’s residential landscape: the rapid rise of Single-Person Households (1인 가구) and the normalization of solo living, sociologically captured by the term Honjok (혼족, The Solo Tribe).</w:t>
      </w:r>
    </w:p>
    <w:p>
      <w:pPr>
        <w:pStyle w:val="MdSpace"/>
        <w:spacing w:before="0" w:after="60"/>
      </w:pPr>
    </w:p>
    <w:p>
      <w:pPr>
        <w:pStyle w:val="MdParagraph"/>
      </w:pPr>
      <w:r>
        <w:t xml:space="preserve">Deconstructing the Honjok Phenomenon</w:t>
        <w:br/>
        <w:t xml:space="preserve">Practices once stigmatized as socially isolating have been rebranded into accepted, commercialized expressions of autonomy and personal lifestyle preference:</w:t>
      </w:r>
    </w:p>
    <w:p>
      <w:pPr>
        <w:pStyle w:val="MdSpace"/>
        <w:spacing w:before="0" w:after="60"/>
      </w:pPr>
    </w:p>
    <w:p>
      <w:pPr>
        <w:pStyle w:val="MdParagraph"/>
      </w:pPr>
      <w:r>
        <w:t xml:space="preserve">Honbap (혼밥): Dining alone in restaurants, supported by the widespread emergence of single-seat partitions, automated kiosk ordering, and individual hot-pot and barbecue setups across urban centers.</w:t>
      </w:r>
    </w:p>
    <w:p>
      <w:pPr>
        <w:pStyle w:val="MdSpace"/>
        <w:spacing w:before="0" w:after="60"/>
      </w:pPr>
    </w:p>
    <w:p>
      <w:pPr>
        <w:pStyle w:val="MdParagraph"/>
      </w:pPr>
      <w:r>
        <w:t xml:space="preserve">Honsul (혼술): Consuming alcohol alone at home or in quiet, specialized single-patron bars, serving as a direct escape from hierarchical corporate drinking gatherings (Hoesik).</w:t>
      </w:r>
    </w:p>
    <w:p>
      <w:pPr>
        <w:pStyle w:val="MdSpace"/>
        <w:spacing w:before="0" w:after="60"/>
      </w:pPr>
    </w:p>
    <w:p>
      <w:pPr>
        <w:pStyle w:val="MdParagraph"/>
      </w:pPr>
      <w:r>
        <w:t xml:space="preserve">Hon-yeonghaeng (혼여행): Traveling solo to prioritize personal rest and reflection over group itineraries.</w:t>
      </w:r>
    </w:p>
    <w:p>
      <w:pPr>
        <w:pStyle w:val="MdSpace"/>
        <w:spacing w:before="0" w:after="60"/>
      </w:pPr>
    </w:p>
    <w:p>
      <w:pPr>
        <w:pStyle w:val="MdParagraph"/>
      </w:pPr>
      <w:r>
        <w:t xml:space="preserve">Sociologists emphasize that the growth of single-person households cannot be attributed purely to ideological individualism. It represents an intersection where rising personal autonomy meets structural economic headwinds and urban infrastructure optimized for solitary convenience.</w:t>
      </w:r>
    </w:p>
    <w:p>
      <w:pPr>
        <w:pStyle w:val="MdSpace"/>
        <w:spacing w:before="0" w:after="60"/>
      </w:pPr>
    </w:p>
    <w:p>
      <w:pPr>
        <w:pStyle w:val="Heading3"/>
        <w:pStyle w:val="MdHeading3"/>
      </w:pPr>
      <w:r>
        <w:t xml:space="preserve">5.3 Deconstructing the World's Lowest Total Fertility Rate (TFR)</w:t>
      </w:r>
    </w:p>
    <w:p>
      <w:pPr>
        <w:pStyle w:val="MdParagraph"/>
      </w:pPr>
      <w:r>
        <w:t xml:space="preserve">The convergence of career interruption risks, delayed marriage, escalating living costs, and intense competition has produced South Korea’s most pressing demographic crisis: a Total Fertility Rate (TFR) that dropped to 0.72 in 2023 (rising modestly to 0.75 in 2024 and about 0.8 in 2025), standing far below the population replacement level of 2.1.</w:t>
      </w:r>
    </w:p>
    <w:p>
      <w:pPr>
        <w:pStyle w:val="MdSpace"/>
        <w:spacing w:before="0" w:after="60"/>
      </w:pPr>
    </w:p>
    <w:p>
      <w:pPr>
        <w:pStyle w:val="MdParagraph"/>
      </w:pPr>
      <w:r>
        <w:t xml:space="preserve">Sociological Frameworks of the Demographic Shift</w:t>
        <w:br/>
        <w:t xml:space="preserve">The Rational Investment Model: Rather than reflecting an aversion to parenthood, low fertility operates as a calculated decision by prospective parents responding to severe competitive pressures. When the perceived financial and emotional investment required to raise a successful child in modern Korea is exceptionally high, individuals choose to limit family size to one child or forgo parenting entirely.</w:t>
      </w:r>
    </w:p>
    <w:p>
      <w:pPr>
        <w:pStyle w:val="MdSpace"/>
        <w:spacing w:before="0" w:after="60"/>
      </w:pPr>
    </w:p>
    <w:p>
      <w:pPr>
        <w:pStyle w:val="MdParagraph"/>
      </w:pPr>
      <w:r>
        <w:t xml:space="preserve">Private Education Pressure (Hagwon Costs): Korean parents spend significant portions of their monthly household income on private tutoring and after-school academies (Hagwon) to ensure their children remain competitive in university entrance examinations (Suneung). The perceived necessity of these investments turns child-rearing into an expensive enterprise.</w:t>
      </w:r>
    </w:p>
    <w:p>
      <w:pPr>
        <w:pStyle w:val="MdSpace"/>
        <w:spacing w:before="0" w:after="60"/>
      </w:pPr>
    </w:p>
    <w:p>
      <w:pPr>
        <w:pStyle w:val="MdParagraph"/>
      </w:pPr>
      <w:r>
        <w:t xml:space="preserve">Metropolitan Hyper-Concentration: Over 50% of South Korea’s total population resides within the Greater Seoul Metropolitan Area. This intense geographic concentration fuels competition for housing, prestigious schools, and primary-tier corporate jobs, directly depressing fertility rates in urban centers.</w:t>
      </w:r>
    </w:p>
    <w:p>
      <w:pPr>
        <w:pStyle w:val="MdSpace"/>
        <w:spacing w:before="0" w:after="60"/>
      </w:pPr>
    </w:p>
    <w:p>
      <w:pPr>
        <w:pStyle w:val="Heading3"/>
        <w:pStyle w:val="MdHeading3"/>
      </w:pPr>
      <w:r>
        <w:t xml:space="preserve">5.4 The Ethics of Elder Care (Hyo in Transition): From Domestic Labor to Social Insurance</w:t>
      </w:r>
    </w:p>
    <w:p>
      <w:pPr>
        <w:pStyle w:val="MdParagraph"/>
      </w:pPr>
      <w:r>
        <w:t xml:space="preserve">The transformation of the family unit has also restructured the Confucian ethic of filial piety (Hyo, 孝) regarding elder care.</w:t>
      </w:r>
    </w:p>
    <w:p>
      <w:pPr>
        <w:pStyle w:val="MdSpace"/>
        <w:spacing w:before="0" w:after="60"/>
      </w:pPr>
    </w:p>
    <w:p>
      <w:pPr>
        <w:pStyle w:val="MdParagraph"/>
      </w:pPr>
      <w:r>
        <w:t xml:space="preserve">The Shift to Institutional and Public Care</w:t>
        <w:br/>
        <w:t xml:space="preserve">Historically, co-residing with elderly parents and providing direct hands-on care was the duty of the eldest son and his wife. Today, this dynamic has shifted toward institutionalized care and independent living:</w:t>
      </w:r>
    </w:p>
    <w:p>
      <w:pPr>
        <w:pStyle w:val="MdSpace"/>
        <w:spacing w:before="0" w:after="60"/>
      </w:pPr>
    </w:p>
    <w:p>
      <w:pPr>
        <w:pStyle w:val="MdParagraph"/>
      </w:pPr>
      <w:r>
        <w:t xml:space="preserve">Decline in Co-Residence: The proportion of elderly parents living in the same household with their adult children has declined steadily over recent decades. A clear majority of seniors now express a preference for independent living as long as their physical health permits.</w:t>
      </w:r>
    </w:p>
    <w:p>
      <w:pPr>
        <w:pStyle w:val="MdSpace"/>
        <w:spacing w:before="0" w:after="60"/>
      </w:pPr>
    </w:p>
    <w:p>
      <w:pPr>
        <w:pStyle w:val="MdParagraph"/>
      </w:pPr>
      <w:r>
        <w:t xml:space="preserve">National Long-Term Care Insurance (노인장기요양보험): Implemented in July 2008, this statutory social insurance program formalized elder care as a shared public responsibility rather than an exclusively private, unpaid burden carried by female family members.</w:t>
      </w:r>
    </w:p>
    <w:p>
      <w:pPr>
        <w:pStyle w:val="MdSpace"/>
        <w:spacing w:before="0" w:after="60"/>
      </w:pPr>
    </w:p>
    <w:p>
      <w:pPr>
        <w:pStyle w:val="MdParagraph"/>
      </w:pPr>
      <w:r>
        <w:t xml:space="preserve">The Redefinition of Filial Duty: In contemporary Korea, filial piety is increasingly expressed through regular financial support, digital communication, and selecting high-quality professional care facilities rather than continuous physical co-habitation.</w:t>
      </w:r>
    </w:p>
    <w:p>
      <w:pPr>
        <w:pStyle w:val="MdSpace"/>
        <w:spacing w:before="0" w:after="60"/>
      </w:pPr>
    </w:p>
    <w:p>
      <w:pPr>
        <w:pStyle w:val="MdParagraph"/>
      </w:pPr>
      <w:r>
        <w:t xml:space="preserve">This transition highlights South Korea's broader societal trajectory: the shift from relying exclusively on informal family networks to developing institutionalized social safety nets.</w:t>
      </w:r>
    </w:p>
    <w:p>
      <w:pPr>
        <w:pStyle w:val="MdSpace"/>
        <w:spacing w:before="0" w:after="60"/>
      </w:pPr>
    </w:p>
    <w:p>
      <w:pPr>
        <w:pStyle w:val="Heading2"/>
        <w:pStyle w:val="MdHeading2"/>
      </w:pPr>
      <w:r>
        <w:t xml:space="preserve">5.5 Demography, housing, and the timing of adulthood</w:t>
      </w:r>
    </w:p>
    <w:p>
      <w:pPr>
        <w:pStyle w:val="MdParagraph"/>
      </w:pPr>
      <w:r>
        <w:t xml:space="preserve">Low fertility should not be explained as a single preference variable. It is an outcome produced by the timing of adulthood, the cost of independent housing, the stability of employment, the organization of education, and the perceived consequences of becoming a parent. Marriage remains important because births continue to be strongly associated with marriage in Korea, even as attitudes toward marriage become more conditional. When marriage is delayed, births are delayed as well; when marriage requires a home, a stable job, and expensive educational expectations, the threshold for family formation rises.</w:t>
      </w:r>
    </w:p>
    <w:p>
      <w:pPr>
        <w:pStyle w:val="MdSpace"/>
        <w:spacing w:before="0" w:after="60"/>
      </w:pPr>
    </w:p>
    <w:p>
      <w:pPr>
        <w:pStyle w:val="MdParagraph"/>
      </w:pPr>
      <w:r>
        <w:t xml:space="preserve">The rise of one-person households has a related but distinct meaning. Some reflect young adults’ transition before marriage; others reflect later-life widowhood, divorce, non-marriage, or independent living among older people. Treating all one-person households as “honjok culture” risks turning a demographic category into a lifestyle stereotype. A strong chapter should show both sides: the autonomy and convenience associated with solo living, and the income, health, loneliness, and care risks that can accompany it.</w:t>
      </w:r>
    </w:p>
    <w:p>
      <w:pPr>
        <w:pStyle w:val="MdSpace"/>
        <w:spacing w:before="0" w:after="60"/>
      </w:pPr>
    </w:p>
    <w:p>
      <w:pPr>
        <w:pStyle w:val="MdParagraph"/>
      </w:pPr>
      <w:r>
        <w:t xml:space="preserve">[FIGURE 9 — TFR AND MARRIAGE TIMING | full width | two-panel chart: TFR by year and mean age at first marriage by sex. Caption: “The postponement of marriage and the decline of fertility are related but analytically distinct trends.” Sources: Statistics Korea vital statistics and marriage statistics.]</w:t>
      </w:r>
    </w:p>
    <w:p>
      <w:pPr>
        <w:pStyle w:val="MdSpace"/>
        <w:spacing w:before="0" w:after="60"/>
      </w:pPr>
    </w:p>
    <w:p>
      <w:pPr>
        <w:pStyle w:val="MdParagraph"/>
      </w:pPr>
      <w:r>
        <w:t xml:space="preserve">[FIGURE 10 — ONE-PERSON HOUSEHOLDS BY AGE | half page | stacked bars showing age composition, not only total share. Caption: “The one-person household is a heterogeneous category spanning early adulthood, mid-life, and old age.” Source: Population and Housing Census; reference year stated in the chart.]</w:t>
      </w:r>
    </w:p>
    <w:p>
      <w:pPr>
        <w:pStyle w:val="MdSpace"/>
        <w:spacing w:before="0" w:after="60"/>
      </w:pPr>
    </w:p>
    <w:p>
      <w:pPr>
        <w:pStyle w:val="Heading2"/>
        <w:pStyle w:val="MdHeading2"/>
      </w:pPr>
      <w:r>
        <w:t xml:space="preserve">5.6 Care, ageing, and the public meaning of filial piety</w:t>
      </w:r>
    </w:p>
    <w:p>
      <w:pPr>
        <w:pStyle w:val="MdParagraph"/>
      </w:pPr>
      <w:r>
        <w:t xml:space="preserve">The transformation of elder care is not a simple replacement of family by the state. Public long-term care insurance, hospitals, local welfare centers, home-care services, and private facilities now form a mixed system in which families still coordinate decisions, finance gaps, and provide emotional support. Daughters, daughters-in-law, spouses, and sons may all be involved, but their responsibilities are not distributed evenly. Institutional care can reduce the physical burden of co-residence while creating new questions about affordability, quality, and access.</w:t>
      </w:r>
    </w:p>
    <w:p>
      <w:pPr>
        <w:pStyle w:val="MdSpace"/>
        <w:spacing w:before="0" w:after="60"/>
      </w:pPr>
    </w:p>
    <w:p>
      <w:pPr>
        <w:pStyle w:val="MdParagraph"/>
      </w:pPr>
      <w:r>
        <w:t xml:space="preserve">Filial piety therefore changes meaning rather than disappears. It can involve visits, financial contributions, advocacy within medical systems, digital communication, or arranging professional care. The ethical issue is whether these expectations are voluntary and shared, or whether they are enforced through gendered guilt and inadequate public provision. A democratic welfare state should not abolish intergenerational responsibility; it should prevent responsibility from becoming an unpriced private tax on one category of family member.</w:t>
      </w:r>
    </w:p>
    <w:p>
      <w:pPr>
        <w:pStyle w:val="MdSpace"/>
        <w:spacing w:before="0" w:after="60"/>
      </w:pPr>
    </w:p>
    <w:p>
      <w:pPr>
        <w:pStyle w:val="MdParagraph"/>
      </w:pPr>
      <w:r>
        <w:t xml:space="preserve">[FIGURE 11 — MIXED CARE SYSTEM | one-third page | concentric diagram of household, community, market, and state care. Caption: “Contemporary elder care is a mixed system rather than a complete shift from family to government.” Source: author’s synthesis and long-term-care policy materials.]</w:t>
      </w:r>
    </w:p>
    <w:p>
      <w:pPr>
        <w:pStyle w:val="MdSpace"/>
        <w:spacing w:before="0" w:after="60"/>
      </w:pPr>
    </w:p>
    <w:p>
      <w:pPr>
        <w:pStyle w:val="Heading1"/>
        <w:pStyle w:val="MdHeading1"/>
      </w:pPr>
      <w:r>
        <w:t xml:space="preserve">CHAPTER 6: Generational Fractures &amp; Toward an Adaptive Social Contract</w:t>
      </w:r>
    </w:p>
    <w:p>
      <w:pPr>
        <w:pStyle w:val="MdParagraph"/>
      </w:pPr>
      <w:r>
        <w:t xml:space="preserve">Deconstructing the Friction Points</w:t>
        <w:br/>
        <w:t xml:space="preserve">The Asymmetry of Military Service and Career Entry: For young men, mandatory military service (approximately 18 months in active duty) interrupts their early twenties, delaying university graduation and formal labor market entry. In a hyper-competitive economy, many young men perceive this as a structural disadvantage, generating resentment when competing against female peers who enter the labor market without interruption.</w:t>
      </w:r>
    </w:p>
    <w:p>
      <w:pPr>
        <w:pStyle w:val="MdSpace"/>
        <w:spacing w:before="0" w:after="60"/>
      </w:pPr>
    </w:p>
    <w:p>
      <w:pPr>
        <w:pStyle w:val="MdParagraph"/>
      </w:pPr>
      <w:r>
        <w:t xml:space="preserve">The Threat of the Domestic Trap: For young women, extensive educational investment fosters a strong professional identity. However, observing older female cohorts experience career interruptions (Gyeongdan) upon marriage and bear a disproportionate domestic care burden creates intense caution toward entering traditional family arrangements.</w:t>
      </w:r>
    </w:p>
    <w:p>
      <w:pPr>
        <w:pStyle w:val="MdSpace"/>
        <w:spacing w:before="0" w:after="60"/>
      </w:pPr>
    </w:p>
    <w:p>
      <w:pPr>
        <w:pStyle w:val="MdParagraph"/>
      </w:pPr>
      <w:r>
        <w:t xml:space="preserve">The Clash of Unfulfilled Expectations: While young men often feel pressured to fulfill traditional male roles—such as providing the primary housing capital for marriage—without receiving traditional social deference, young women feel expected to maintain high professional standards while continuing to manage domestic spheres. This structural mismatch produces severe relational tension.</w:t>
      </w:r>
    </w:p>
    <w:p>
      <w:pPr>
        <w:pStyle w:val="MdSpace"/>
        <w:spacing w:before="0" w:after="60"/>
      </w:pPr>
    </w:p>
    <w:p>
      <w:pPr>
        <w:pStyle w:val="Heading3"/>
        <w:pStyle w:val="MdHeading3"/>
      </w:pPr>
      <w:r>
        <w:t xml:space="preserve">6.2 The Intergenerational Perception Chasm: Industrial Generation vs. MZ Cohorts</w:t>
      </w:r>
    </w:p>
    <w:p>
      <w:pPr>
        <w:pStyle w:val="MdParagraph"/>
      </w:pPr>
      <w:r>
        <w:t xml:space="preserve">The societal debate over family and gender is further complicated by a profound generational divide. Older cohorts who engineered South Korea's rapid post-war economic growth evaluate family life through a lens shaped by mid-20th-century hardship, whereas younger urban generations (MZ Generation: Millennials and Gen Z) prioritize personal autonomy, transparent merit, and mental well-being.</w:t>
      </w:r>
    </w:p>
    <w:p>
      <w:pPr>
        <w:pStyle w:val="MdSpace"/>
        <w:spacing w:before="0" w:after="60"/>
      </w:pPr>
    </w:p>
    <w:p>
      <w:pPr>
        <w:pStyle w:val="MdParagraph"/>
      </w:pPr>
      <w:r>
        <w:t xml:space="preserve">The Disconnect in Social Norms</w:t>
        <w:br/>
        <w:t xml:space="preserve">Communication Breakdown (Kkondae Discourse): Older family members often frame questions regarding marriage status, childbearing, or career plans as expressions of relational care and warmth (Jeong). Younger generations, however, frequently interpret these inquiries as boundary violations, unwarranted surveillance, and outdated social pressure.</w:t>
      </w:r>
    </w:p>
    <w:p>
      <w:pPr>
        <w:pStyle w:val="MdSpace"/>
        <w:spacing w:before="0" w:after="60"/>
      </w:pPr>
    </w:p>
    <w:p>
      <w:pPr>
        <w:pStyle w:val="MdParagraph"/>
      </w:pPr>
      <w:r>
        <w:t xml:space="preserve">Re-Evaluating Sacrifice: The older generation views individual sacrifice for the family as the highest moral virtue. Younger Koreans, confronting a hyper-competitive economy and high housing costs, view uncompensated personal sacrifice as structurally irrational and self-destructive.</w:t>
      </w:r>
    </w:p>
    <w:p>
      <w:pPr>
        <w:pStyle w:val="MdSpace"/>
        <w:spacing w:before="0" w:after="60"/>
      </w:pPr>
    </w:p>
    <w:p>
      <w:pPr>
        <w:pStyle w:val="Heading3"/>
        <w:pStyle w:val="MdHeading3"/>
      </w:pPr>
      <w:r>
        <w:t xml:space="preserve">6.3 Expanding the Domestic Sphere: De Facto Unions, Single Parenthood, and Civil Partnerships</w:t>
      </w:r>
    </w:p>
    <w:p>
      <w:pPr>
        <w:pStyle w:val="MdParagraph"/>
      </w:pPr>
      <w:r>
        <w:t xml:space="preserve">As traditional marriage rates decline, the legal and social definition of "family" in South Korea is undergoing an inevitable expansion. Korean citizens are actively forming diverse cohabitation arrangements that challenge the historically rigid, marriage-centered definition of domestic units.</w:t>
      </w:r>
    </w:p>
    <w:p>
      <w:pPr>
        <w:pStyle w:val="MdSpace"/>
        <w:spacing w:before="0" w:after="60"/>
      </w:pPr>
    </w:p>
    <w:p>
      <w:pPr>
        <w:pStyle w:val="MdParagraph"/>
      </w:pPr>
      <w:r>
        <w:t xml:space="preserve">Institutional Lag and Legal Debates</w:t>
        <w:br/>
        <w:t xml:space="preserve">While non-traditional households are increasingly common in urban centers like Seoul, South Korea's legal and welfare frameworks remain largely anchored to traditional, marriage-based family units:</w:t>
      </w:r>
    </w:p>
    <w:p>
      <w:pPr>
        <w:pStyle w:val="MdSpace"/>
        <w:spacing w:before="0" w:after="60"/>
      </w:pPr>
    </w:p>
    <w:p>
      <w:pPr>
        <w:pStyle w:val="MdParagraph"/>
      </w:pPr>
      <w:r>
        <w:t xml:space="preserve">The Framework Act on Healthy Families (건강가정기본법): Historically defined family strictly through marriage, bloodlines, or adoption, creating institutional barriers for non-married cohabiting couples seeking housing subsidies, joint health insurance coverage, or emergency medical decision-making rights.</w:t>
      </w:r>
    </w:p>
    <w:p>
      <w:pPr>
        <w:pStyle w:val="MdSpace"/>
        <w:spacing w:before="0" w:after="60"/>
      </w:pPr>
    </w:p>
    <w:p>
      <w:pPr>
        <w:pStyle w:val="MdParagraph"/>
      </w:pPr>
      <w:r>
        <w:t xml:space="preserve">The Living Together Guarantee Act Movements (Civil Partnership Debates): Legislative proposals inspired by civil pact frameworks (such as France's PACS) have been introduced in the National Assembly to grant legal recognition, tax benefits, and hospital visitation rights to non-married cohabiting partners regardless of gender or traditional marital status.</w:t>
      </w:r>
    </w:p>
    <w:p>
      <w:pPr>
        <w:pStyle w:val="MdSpace"/>
        <w:spacing w:before="0" w:after="60"/>
      </w:pPr>
    </w:p>
    <w:p>
      <w:pPr>
        <w:pStyle w:val="Heading3"/>
        <w:pStyle w:val="MdHeading3"/>
      </w:pPr>
      <w:r>
        <w:t xml:space="preserve">6.4 Conclusion: Building an Adaptive, Sustainable Social Contract</w:t>
      </w:r>
    </w:p>
    <w:p>
      <w:pPr>
        <w:pStyle w:val="MdParagraph"/>
      </w:pPr>
      <w:r>
        <w:t xml:space="preserve">As South Korea navigates the 2020s and beyond, the central sociological lesson of Book 2 becomes clear: the crisis of low fertility, gender conflict, and family dissolution is not a sign of moral decay, but a structural call for institutional adaptation.</w:t>
      </w:r>
    </w:p>
    <w:p>
      <w:pPr>
        <w:pStyle w:val="MdSpace"/>
        <w:spacing w:before="0" w:after="60"/>
      </w:pPr>
    </w:p>
    <w:p>
      <w:pPr>
        <w:pStyle w:val="MdParagraph"/>
      </w:pPr>
      <w:r>
        <w:t xml:space="preserve">The Confucian legacy provided South Korea with an extraordinary foundation of educational passion, social cohesion, and resilience that enabled its historic rise from post-war poverty to an advanced industrial democracy. However, sustaining this dynamic nation requires updating its social operating system to align with modern democratic values, individual autonomy, and genuine gender equality.</w:t>
      </w:r>
    </w:p>
    <w:p>
      <w:pPr>
        <w:pStyle w:val="MdSpace"/>
        <w:spacing w:before="0" w:after="60"/>
      </w:pPr>
    </w:p>
    <w:p>
      <w:pPr>
        <w:pStyle w:val="MdParagraph"/>
      </w:pPr>
      <w:r>
        <w:t xml:space="preserve">By dismantling lingering structural barriers in the workplace, closing the implementation gap for parental leave, expanding legal protections for diverse family structures, and establishing genuine partnership within domestic life, South Korea has the capacity to transform its current transitional friction into a more sustainable, inclusive, and resilient future.</w:t>
      </w:r>
    </w:p>
    <w:p>
      <w:pPr>
        <w:pStyle w:val="MdSpace"/>
        <w:spacing w:before="0" w:after="60"/>
      </w:pPr>
    </w:p>
    <w:p>
      <w:pPr>
        <w:pStyle w:val="Heading2"/>
        <w:pStyle w:val="MdHeading2"/>
      </w:pPr>
      <w:r>
        <w:t xml:space="preserve">6.5 From gender conflict to institutional bargaining</w:t>
      </w:r>
    </w:p>
    <w:p>
      <w:pPr>
        <w:pStyle w:val="MdParagraph"/>
      </w:pPr>
      <w:r>
        <w:t xml:space="preserve">Public discussion often describes young men and young women as opposing camps. A more precise analysis treats gender conflict as a dispute over the allocation of risk, recognition, and obligation. Men may describe military service, housing costs, and expectations of economic provision. Women may describe safety, career interruption, unpaid care, and the expectation to manage family logistics. These concerns are not identical, and neither side’s account should be used to erase the other. They become politically explosive when institutions distribute the costs of adulthood through gendered assumptions.</w:t>
      </w:r>
    </w:p>
    <w:p>
      <w:pPr>
        <w:pStyle w:val="MdSpace"/>
        <w:spacing w:before="0" w:after="60"/>
      </w:pPr>
    </w:p>
    <w:p>
      <w:pPr>
        <w:pStyle w:val="MdParagraph"/>
      </w:pPr>
      <w:r>
        <w:t xml:space="preserve">The task is not to produce a symmetrical equation in which every disadvantage is declared equal. It is to identify where disadvantages originate, who bears them, and which policy can change them. Military service is a state obligation; housing scarcity is a market and policy problem; career interruption is shaped by workplace design and care provision; domestic inequality is negotiated within households but reinforced by wider institutions. Keeping these levels separate makes constructive bargaining more possible.</w:t>
      </w:r>
    </w:p>
    <w:p>
      <w:pPr>
        <w:pStyle w:val="MdSpace"/>
        <w:spacing w:before="0" w:after="60"/>
      </w:pPr>
    </w:p>
    <w:p>
      <w:pPr>
        <w:pStyle w:val="MdParagraph"/>
      </w:pPr>
      <w:r>
        <w:t xml:space="preserve">[FIGURE 12 — RISK ALLOCATION MATRIX | half page | rows: military service, housing, paid work, unpaid care, old-age security; columns: state, employer, household, individual. Caption: “Gender conflict becomes more intelligible when obligations are mapped by institution.” Source: author’s analytical framework.]</w:t>
      </w:r>
    </w:p>
    <w:p>
      <w:pPr>
        <w:pStyle w:val="MdSpace"/>
        <w:spacing w:before="0" w:after="60"/>
      </w:pPr>
    </w:p>
    <w:p>
      <w:pPr>
        <w:pStyle w:val="Heading2"/>
        <w:pStyle w:val="MdHeading2"/>
      </w:pPr>
      <w:r>
        <w:t xml:space="preserve">6.6 Legal pluralism and the test of inclusion</w:t>
      </w:r>
    </w:p>
    <w:p>
      <w:pPr>
        <w:pStyle w:val="MdParagraph"/>
      </w:pPr>
      <w:r>
        <w:t xml:space="preserve">Expanding recognition of family diversity requires more than adding a new label to a form. It requires decisions about inheritance, taxation, housing, medical consent, social insurance, parental status, domestic violence protection, and the termination of a relationship. Marriage currently bundles many of these rights into one institution. A civil partnership or cohabitation framework would need to specify which rights are automatic, which require registration, and how vulnerable partners are protected when a relationship ends.</w:t>
      </w:r>
    </w:p>
    <w:p>
      <w:pPr>
        <w:pStyle w:val="MdSpace"/>
        <w:spacing w:before="0" w:after="60"/>
      </w:pPr>
    </w:p>
    <w:p>
      <w:pPr>
        <w:pStyle w:val="MdParagraph"/>
      </w:pPr>
      <w:r>
        <w:t xml:space="preserve">The policy debate should also avoid a false choice between “traditional family” and unlimited individual choice. Many people want durable care relationships, but they may not be able or willing to enter marriage. A pluralistic framework can protect stability without prescribing one household form. The relevant standard is whether people who share care, residence, economic responsibility, or dependency can obtain fair protection, while children and vulnerable adults receive priority.</w:t>
      </w:r>
    </w:p>
    <w:p>
      <w:pPr>
        <w:pStyle w:val="MdSpace"/>
        <w:spacing w:before="0" w:after="60"/>
      </w:pPr>
    </w:p>
    <w:p>
      <w:pPr>
        <w:pStyle w:val="MdParagraph"/>
      </w:pPr>
      <w:r>
        <w:t xml:space="preserve">[FIGURE 13 — FAMILY RIGHTS BUNDLE | full page | matrix comparing marriage, registered partnership, cohabitation, single parenthood, and chosen-care networks across housing, tax, inheritance, medical decisions, and care insurance. Caption: “Family recognition can be analyzed as a bundle of rights rather than a single legal status.” Source: comparative legal analysis; mark South Korean law versus policy proposals clearly.]</w:t>
      </w:r>
    </w:p>
    <w:p>
      <w:pPr>
        <w:pStyle w:val="MdSpace"/>
        <w:spacing w:before="0" w:after="60"/>
      </w:pPr>
    </w:p>
    <w:p>
      <w:pPr>
        <w:pStyle w:val="Heading2"/>
        <w:pStyle w:val="MdHeading2"/>
      </w:pPr>
      <w:r>
        <w:t xml:space="preserve">6.7 A policy evaluation framework</w:t>
      </w:r>
    </w:p>
    <w:p>
      <w:pPr>
        <w:pStyle w:val="MdParagraph"/>
      </w:pPr>
      <w:r>
        <w:t xml:space="preserve">The final question is not whether Korea can return to an earlier family model. It is whether institutions can make care, work, and belonging compatible with democratic equality. Four tests are useful. The first is </w:t>
      </w:r>
      <w:r>
        <w:rPr>
          <w:rStyle w:val="MdStrong"/>
          <w:b/>
          <w:bCs/>
        </w:rPr>
        <w:t xml:space="preserve">access</w:t>
      </w:r>
      <w:r>
        <w:t xml:space="preserve">: can people obtain support regardless of marital status, gender, region, or employment type? The second is </w:t>
      </w:r>
      <w:r>
        <w:rPr>
          <w:rStyle w:val="MdStrong"/>
          <w:b/>
          <w:bCs/>
        </w:rPr>
        <w:t xml:space="preserve">time</w:t>
      </w:r>
      <w:r>
        <w:t xml:space="preserve">: do policies give adults enough predictable time to care? The third is </w:t>
      </w:r>
      <w:r>
        <w:rPr>
          <w:rStyle w:val="MdStrong"/>
          <w:b/>
          <w:bCs/>
        </w:rPr>
        <w:t xml:space="preserve">security</w:t>
      </w:r>
      <w:r>
        <w:t xml:space="preserve">: do family choices threaten housing, income, health insurance, or later-life protection? The fourth is </w:t>
      </w:r>
      <w:r>
        <w:rPr>
          <w:rStyle w:val="MdStrong"/>
          <w:b/>
          <w:bCs/>
        </w:rPr>
        <w:t xml:space="preserve">voice</w:t>
      </w:r>
      <w:r>
        <w:t xml:space="preserve">: can individuals contest decisions made by employers, relatives, welfare agencies, and courts?</w:t>
      </w:r>
    </w:p>
    <w:p>
      <w:pPr>
        <w:pStyle w:val="MdSpace"/>
        <w:spacing w:before="0" w:after="60"/>
      </w:pPr>
    </w:p>
    <w:p>
      <w:pPr>
        <w:pStyle w:val="MdParagraph"/>
      </w:pPr>
      <w:r>
        <w:t xml:space="preserve">These tests produce a more realistic social contract than a promise to restore fertility through incentives alone. Birth subsidies may help at the margin, but they cannot compensate for insecure work, unaffordable housing, unequal care, or social stigma. The objective should be a society in which people are not required to choose between meaningful relationships and economic survival.</w:t>
      </w:r>
    </w:p>
    <w:p>
      <w:pPr>
        <w:pStyle w:val="MdSpace"/>
        <w:spacing w:before="0" w:after="60"/>
      </w:pPr>
    </w:p>
    <w:p>
      <w:pPr>
        <w:pStyle w:val="MdParagraph"/>
      </w:pPr>
      <w:r>
        <w:t xml:space="preserve">[FIGURE 14 — ADAPTIVE SOCIAL CONTRACT SCORECARD | one-third page | four indicators: access, time, security, voice. Caption: “A sustainable family policy should be evaluated by the conditions it creates, not only by birth counts.” Source: author’s synthesis.]</w:t>
      </w:r>
    </w:p>
    <w:p>
      <w:pPr>
        <w:pStyle w:val="MdSpace"/>
        <w:spacing w:before="0" w:after="60"/>
      </w:pPr>
    </w:p>
    <w:p>
      <w:pPr>
        <w:pStyle w:val="Heading1"/>
        <w:pStyle w:val="MdHeading1"/>
      </w:pPr>
      <w:r>
        <w:t xml:space="preserve">EPILOGUE: Reimagining Kinship in the 21st Century</w:t>
      </w:r>
    </w:p>
    <w:p>
      <w:pPr>
        <w:pStyle w:val="MdParagraph"/>
      </w:pPr>
      <w:r>
        <w:t xml:space="preserve">The Search for a New Social Covenant in Post-Confucian Korea</w:t>
        <w:br/>
        <w:t xml:space="preserve">In the span of a single human lifetime, this peninsula navigated the collapse of a dynastic feudal order, the trauma of colonial subjugation, the physical annihilation of total war, an unprecedented state-directed industrial miracle, and a swift transition into a vibrant digital democracy.</w:t>
      </w:r>
    </w:p>
    <w:p>
      <w:pPr>
        <w:pStyle w:val="MdSpace"/>
        <w:spacing w:before="0" w:after="60"/>
      </w:pPr>
    </w:p>
    <w:p>
      <w:pPr>
        <w:pStyle w:val="MdParagraph"/>
      </w:pPr>
      <w:r>
        <w:t xml:space="preserve">Yet, as the preceding chapters have demonstrated, the ultimate frontier of modernization is never merely industrial, technological, or legal. The true, most demanding frontier of modernization is intimate and relational. It unfolds within the private rooms of the household, around the dinner table, in the negotiation over who cares for an aging parent or a newborn child, and in the legal definitions of whose love and shared life the state chooses to recognize and protect.</w:t>
      </w:r>
    </w:p>
    <w:p>
      <w:pPr>
        <w:pStyle w:val="MdSpace"/>
        <w:spacing w:before="0" w:after="60"/>
      </w:pPr>
    </w:p>
    <w:p>
      <w:pPr>
        <w:pStyle w:val="MdParagraph"/>
      </w:pPr>
      <w:r>
        <w:t xml:space="preserve">Beyond Despair: Deconstructing the "Crisis" Narrative</w:t>
        <w:br/>
        <w:t xml:space="preserve">Much of the contemporary domestic and global commentary surrounding South Korea’s demographic crossroads is dominated by an apocalyptic vocabulary: "demographic implosion," "extinction-level fertility," "gender war," and "the collapse of the family."</w:t>
      </w:r>
    </w:p>
    <w:p>
      <w:pPr>
        <w:pStyle w:val="MdSpace"/>
        <w:spacing w:before="0" w:after="60"/>
      </w:pPr>
    </w:p>
    <w:p>
      <w:pPr>
        <w:pStyle w:val="MdParagraph"/>
      </w:pPr>
      <w:r>
        <w:t xml:space="preserve">While the empirical data—a Total Fertility Rate that fell to 0.72 in 2023 before edging up to 0.75 in 2024 and about 0.8 in 2025, a gender wage gap of about 29%, and an explosive rise in single-person households—certainly demands urgent institutional attention, framing this transition purely as a story of cultural decline or societal failure obscures its true sociological meaning.</w:t>
      </w:r>
    </w:p>
    <w:p>
      <w:pPr>
        <w:pStyle w:val="MdSpace"/>
        <w:spacing w:before="0" w:after="60"/>
      </w:pPr>
    </w:p>
    <w:p>
      <w:pPr>
        <w:pStyle w:val="MdParagraph"/>
      </w:pPr>
      <w:r>
        <w:t xml:space="preserve">South Korea’s low fertility and marriage strikes are not evidence of a population that has grown cold or indifferent to human connection. Rather, they represent a profound, silent vote of non-confidence against an outdated institutional operating system.</w:t>
      </w:r>
    </w:p>
    <w:p>
      <w:pPr>
        <w:pStyle w:val="MdSpace"/>
        <w:spacing w:before="0" w:after="60"/>
      </w:pPr>
    </w:p>
    <w:p>
      <w:pPr>
        <w:pStyle w:val="MdParagraph"/>
      </w:pPr>
      <w:r>
        <w:t xml:space="preserve">Young Korean women and men are refusing to enter traditional family arrangements under terms that demand the structural erasure of female career identity, uncompensated domestic servitude, and crushing economic burdens. In this light, the demographic deadlock is best understood as a necessary, rational crisis—a structural pressure that forces a dynamic society to renegotiate its core social contract.</w:t>
      </w:r>
    </w:p>
    <w:p>
      <w:pPr>
        <w:pStyle w:val="MdSpace"/>
        <w:spacing w:before="0" w:after="60"/>
      </w:pPr>
    </w:p>
    <w:p>
      <w:pPr>
        <w:pStyle w:val="MdParagraph"/>
      </w:pPr>
      <w:r>
        <w:t xml:space="preserve">The Enduring Core of Confucian Ethics: Care as Shared Humanity</w:t>
        <w:br/>
        <w:t xml:space="preserve">As South Korea deconstructs the rigid hierarchies of late Joseon patriliny and 20th-century developmentalism, an essential question emerges: What remains of Korea’s Confucian inheritance?</w:t>
      </w:r>
    </w:p>
    <w:p>
      <w:pPr>
        <w:pStyle w:val="MdSpace"/>
        <w:spacing w:before="0" w:after="60"/>
      </w:pPr>
    </w:p>
    <w:p>
      <w:pPr>
        <w:pStyle w:val="MdParagraph"/>
      </w:pPr>
      <w:r>
        <w:t xml:space="preserve">Must the pursuit of gender equality, individual autonomy, and pluralistic family models require the total abandonment of Korea’s philosophical roots?</w:t>
      </w:r>
    </w:p>
    <w:p>
      <w:pPr>
        <w:pStyle w:val="MdSpace"/>
        <w:spacing w:before="0" w:after="60"/>
      </w:pPr>
    </w:p>
    <w:p>
      <w:pPr>
        <w:pStyle w:val="MdParagraph"/>
      </w:pPr>
      <w:r>
        <w:t xml:space="preserve">The answer lies in distinguishing between institutionalized patrilineal hierarchy and the fundamental ethical core of Confucian humanism (Ren, 仁).</w:t>
      </w:r>
    </w:p>
    <w:p>
      <w:pPr>
        <w:pStyle w:val="MdSpace"/>
        <w:spacing w:before="0" w:after="60"/>
      </w:pPr>
    </w:p>
    <w:p>
      <w:pPr>
        <w:pStyle w:val="MdParagraph"/>
      </w:pPr>
      <w:r>
        <w:t xml:space="preserve">The Redundant Layer: The rigid norms of agnatic primogeniture, female subordination (Chulga-oein), ritual monopolies (Jesa labor exploitation), and the authoritarian subordination of youth to age were historical constructs, engineered to serve specific dynastic and industrial imperatives. These must be dismantled.</w:t>
      </w:r>
    </w:p>
    <w:p>
      <w:pPr>
        <w:pStyle w:val="MdSpace"/>
        <w:spacing w:before="0" w:after="60"/>
      </w:pPr>
    </w:p>
    <w:p>
      <w:pPr>
        <w:pStyle w:val="MdParagraph"/>
      </w:pPr>
      <w:r>
        <w:t xml:space="preserve">The Living Core: The profound Confucian insight that human beings are fundamentally relational, that genuine well-being is achieved through mutual care, that intergenerational responsibility matters, and that education is a sacred pursuit remains one of Korea’s greatest cultural assets.</w:t>
      </w:r>
    </w:p>
    <w:p>
      <w:pPr>
        <w:pStyle w:val="MdSpace"/>
        <w:spacing w:before="0" w:after="60"/>
      </w:pPr>
    </w:p>
    <w:p>
      <w:pPr>
        <w:pStyle w:val="MdParagraph"/>
      </w:pPr>
      <w:r>
        <w:t xml:space="preserve">The task of contemporary Korea is not to discard its rich ethical heritage, but to democratize it. Filial piety (Hyo) must evolve from an involuntary debt enforced by law into a voluntary ethic of intergenerational solidarity supported by robust public welfare institutions.</w:t>
      </w:r>
    </w:p>
    <w:p>
      <w:pPr>
        <w:pStyle w:val="MdSpace"/>
        <w:spacing w:before="0" w:after="60"/>
      </w:pPr>
    </w:p>
    <w:p>
      <w:pPr>
        <w:pStyle w:val="MdParagraph"/>
      </w:pPr>
      <w:r>
        <w:t xml:space="preserve">Care work—whether for children, the sick, or the elderly—must cease to be an unpaid private tax extracted from women and become a recognized, shared civic responsibility.</w:t>
      </w:r>
    </w:p>
    <w:p>
      <w:pPr>
        <w:pStyle w:val="MdSpace"/>
        <w:spacing w:before="0" w:after="60"/>
      </w:pPr>
    </w:p>
    <w:p>
      <w:pPr>
        <w:pStyle w:val="MdParagraph"/>
      </w:pPr>
      <w:r>
        <w:t xml:space="preserve">A Call for Institutional Courage</w:t>
        <w:br/>
        <w:t xml:space="preserve">South Korea stands at an inflection point. The path forward requires institutional courage across three essential domains:</w:t>
      </w:r>
    </w:p>
    <w:p>
      <w:pPr>
        <w:pStyle w:val="MdSpace"/>
        <w:spacing w:before="0" w:after="60"/>
      </w:pPr>
    </w:p>
    <w:p>
      <w:pPr>
        <w:pStyle w:val="MdParagraph"/>
      </w:pPr>
      <w:r>
        <w:t xml:space="preserve">Reconstructing the Workplace: Corporate institutions must abandon the industrial-era cult of long hours, presenteeism, and informal penalties for parental leave. True gender equality cannot exist in the home until corporate performance evaluations accommodate the realities of human caretaking.</w:t>
      </w:r>
    </w:p>
    <w:p>
      <w:pPr>
        <w:pStyle w:val="MdSpace"/>
        <w:spacing w:before="0" w:after="60"/>
      </w:pPr>
    </w:p>
    <w:p>
      <w:pPr>
        <w:pStyle w:val="MdParagraph"/>
      </w:pPr>
      <w:r>
        <w:t xml:space="preserve">Expanding Legal Definitions of Kinship: The state must update statutory frameworks like the Framework Act on Healthy Families to extend full civic protection, housing access, taxation parity, and medical decision-making rights to non-married cohabitants, single-parent units, and voluntary care cooperatives.</w:t>
      </w:r>
    </w:p>
    <w:p>
      <w:pPr>
        <w:pStyle w:val="MdSpace"/>
        <w:spacing w:before="0" w:after="60"/>
      </w:pPr>
    </w:p>
    <w:p>
      <w:pPr>
        <w:pStyle w:val="MdParagraph"/>
      </w:pPr>
      <w:r>
        <w:t xml:space="preserve">Fostering Inter-Gender Empathy: The bitter gender divide among young adults must be addressed not through political polarization, but by acknowledging the authentic, distinct structural anxieties experienced by both young women and young men in an era of hyper-competition and precarious transitions.</w:t>
      </w:r>
    </w:p>
    <w:p>
      <w:pPr>
        <w:pStyle w:val="MdSpace"/>
        <w:spacing w:before="0" w:after="60"/>
      </w:pPr>
    </w:p>
    <w:p>
      <w:pPr>
        <w:pStyle w:val="MdParagraph"/>
      </w:pPr>
      <w:r>
        <w:t xml:space="preserve">Concluding Reflection</w:t>
        <w:br/>
        <w:t xml:space="preserve">The story of the Korean family is not a tragedy of inevitable decline. It is an ongoing, heroic narrative of transformation.</w:t>
      </w:r>
    </w:p>
    <w:p>
      <w:pPr>
        <w:pStyle w:val="MdSpace"/>
        <w:spacing w:before="0" w:after="60"/>
      </w:pPr>
    </w:p>
    <w:p>
      <w:pPr>
        <w:pStyle w:val="MdParagraph"/>
      </w:pPr>
      <w:r>
        <w:t xml:space="preserve">A society that demonstrated the resilience to rebuild from the ashes of war and the democratic vigor to overthrow military dictatorships and abolish the Hoju system possesses the cultural vitality to author a new social contract.</w:t>
      </w:r>
    </w:p>
    <w:p>
      <w:pPr>
        <w:pStyle w:val="MdSpace"/>
        <w:spacing w:before="0" w:after="60"/>
      </w:pPr>
    </w:p>
    <w:p>
      <w:pPr>
        <w:pStyle w:val="MdParagraph"/>
      </w:pPr>
      <w:r>
        <w:t xml:space="preserve">By embracing a future where individual freedom and collective care reinforce rather than cancel each other out, South Korea has the opportunity to model for the world how an ancient civilization can navigate hyper-modernity—forging a society where every individual, regardless of gender or family form, is afforded the dignity to thrive, work, and love in peace.</w:t>
      </w:r>
    </w:p>
    <w:p>
      <w:pPr>
        <w:pStyle w:val="MdSpace"/>
        <w:spacing w:before="0" w:after="60"/>
      </w:pPr>
    </w:p>
    <w:p>
      <w:pPr>
        <w:pStyle w:val="Heading2"/>
        <w:pStyle w:val="MdHeading2"/>
      </w:pPr>
      <w:r>
        <w:t xml:space="preserve">Methodological note for readers</w:t>
      </w:r>
    </w:p>
    <w:p>
      <w:pPr>
        <w:pStyle w:val="MdParagraph"/>
      </w:pPr>
      <w:r>
        <w:t xml:space="preserve">The statistical series in this book do not all measure the same object. A fertility rate is a period measure, not a prediction of the completed family size of a particular cohort. A household share describes living arrangements, not the strength of emotional ties. The OECD gender wage gap is an unadjusted median earnings measure and should not be presented as a single estimate of discrimination after all individual and job characteristics are controlled. Historical legal categories likewise cannot be read as direct measurements of everyday behavior.</w:t>
      </w:r>
    </w:p>
    <w:p>
      <w:pPr>
        <w:pStyle w:val="MdSpace"/>
        <w:spacing w:before="0" w:after="60"/>
      </w:pPr>
    </w:p>
    <w:p>
      <w:pPr>
        <w:pStyle w:val="MdParagraph"/>
      </w:pPr>
      <w:r>
        <w:t xml:space="preserve">For these reasons, the revised edition uses cautious verbs—“associated with,” “contributed to,” “helped structure,” and “is consistent with”—when the evidence does not establish a single causal pathway. The purpose is not to weaken the argument, but to make it durable under scrutiny.</w:t>
      </w:r>
    </w:p>
    <w:p>
      <w:pPr>
        <w:pStyle w:val="MdSpace"/>
        <w:spacing w:before="0" w:after="60"/>
      </w:pPr>
    </w:p>
    <w:p>
      <w:pPr>
        <w:pStyle w:val="Heading1"/>
        <w:pStyle w:val="MdHeading1"/>
      </w:pPr>
      <w:r>
        <w:t xml:space="preserve">Statistical Appendix and References</w:t>
      </w:r>
    </w:p>
    <w:p>
      <w:pPr>
        <w:pStyle w:val="MdParagraph"/>
      </w:pPr>
      <w:r>
        <w:t xml:space="preserve">Key Statistical Indices &amp; Methodological Notes</w:t>
        <w:br/>
        <w:t xml:space="preserve">Total Fertility Rate (TFR): Recorded at 0.72 in 2023 (Statistics Korea, Annual Vital Statistics), with a modest rebound to 0.75 in 2024 and about 0.8 in 2025 (provisional). Represents the average number of children a woman is expected to bear across her reproductive lifetime based on current age-specific birth rates.</w:t>
      </w:r>
    </w:p>
    <w:p>
      <w:pPr>
        <w:pStyle w:val="MdSpace"/>
        <w:spacing w:before="0" w:after="60"/>
      </w:pPr>
    </w:p>
    <w:p>
      <w:pPr>
        <w:pStyle w:val="MdParagraph"/>
      </w:pPr>
      <w:r>
        <w:t xml:space="preserve">Gender Wage Gap: Approximately 29% in 2023-2024, down from about 34% in 2018 and still the highest (OECD Employment Database), measuring the difference between male and female median full-time earnings relative to male earnings.</w:t>
      </w:r>
    </w:p>
    <w:p>
      <w:pPr>
        <w:pStyle w:val="MdSpace"/>
        <w:spacing w:before="0" w:after="60"/>
      </w:pPr>
    </w:p>
    <w:p>
      <w:pPr>
        <w:pStyle w:val="MdParagraph"/>
      </w:pPr>
      <w:r>
        <w:t xml:space="preserve">Tertiary Educational Attainment: Exceeds 75% for females aged 25–34 (OECD Education at a Glance), surpassing male cohorts in the same age demographic.</w:t>
      </w:r>
    </w:p>
    <w:p>
      <w:pPr>
        <w:pStyle w:val="MdSpace"/>
        <w:spacing w:before="0" w:after="60"/>
      </w:pPr>
    </w:p>
    <w:p>
      <w:pPr>
        <w:pStyle w:val="MdParagraph"/>
      </w:pPr>
      <w:r>
        <w:t xml:space="preserve">Single-Person Households: Represents over 35% of all national residential units (Statistics Korea, Population and Housing Census), up from 9.0% in 1990.</w:t>
      </w:r>
    </w:p>
    <w:p>
      <w:pPr>
        <w:pStyle w:val="MdSpace"/>
        <w:spacing w:before="0" w:after="60"/>
      </w:pPr>
    </w:p>
    <w:p>
      <w:pPr>
        <w:pStyle w:val="MdParagraph"/>
      </w:pPr>
      <w:r>
        <w:t xml:space="preserve">Core Jurisprudential Milestones</w:t>
        <w:br/>
        <w:t xml:space="preserve">Civil Code of the Republic of Korea (Law No. 471): Promulgated Feb 22, 1958; Enforced Jan 1, 1960. (Original codification of the Hoju system).</w:t>
      </w:r>
    </w:p>
    <w:p>
      <w:pPr>
        <w:pStyle w:val="MdSpace"/>
        <w:spacing w:before="0" w:after="60"/>
      </w:pPr>
    </w:p>
    <w:p>
      <w:pPr>
        <w:pStyle w:val="MdParagraph"/>
      </w:pPr>
      <w:r>
        <w:t xml:space="preserve">Constitutional Court Decision 2001Hun-Ga9 et al. (February 3, 2005): Landmark decision holding Civil Code Articles 778 and 781 (1) non-conforming to the Constitution (Heonbeop-bul-hapchi).</w:t>
      </w:r>
    </w:p>
    <w:p>
      <w:pPr>
        <w:pStyle w:val="MdSpace"/>
        <w:spacing w:before="0" w:after="60"/>
      </w:pPr>
    </w:p>
    <w:p>
      <w:pPr>
        <w:pStyle w:val="MdParagraph"/>
      </w:pPr>
      <w:r>
        <w:t xml:space="preserve">Act on Registration of Family Relations (Law No. 8435): Promulgated May 17, 2007; Enforced Jan 1, 2008. (Establishment of the individual-based registry).</w:t>
      </w:r>
    </w:p>
    <w:p>
      <w:pPr>
        <w:pStyle w:val="MdSpace"/>
        <w:spacing w:before="0" w:after="60"/>
      </w:pPr>
    </w:p>
    <w:p>
      <w:pPr>
        <w:pStyle w:val="MdParagraph"/>
      </w:pPr>
      <w:r>
        <w:t xml:space="preserve">Act on Long-Term Care Insurance for the Aged (Law No. 8402): Enacted April 27, 2007; Enforced July 1, 2008.</w:t>
      </w:r>
    </w:p>
    <w:p>
      <w:pPr>
        <w:pStyle w:val="MdSpace"/>
        <w:spacing w:before="0" w:after="60"/>
      </w:pPr>
    </w:p>
    <w:p>
      <w:pPr>
        <w:pStyle w:val="Heading2"/>
        <w:pStyle w:val="MdHeading2"/>
      </w:pPr>
      <w:r>
        <w:t xml:space="preserve">Figure register for final layout</w:t>
      </w:r>
    </w:p>
    <w:p>
      <w:pPr>
        <w:pStyle w:val="MdParagraph"/>
      </w:pPr>
      <w:r>
        <w:t xml:space="preserve">The following figure slots are part of the production plan. Replace each slot with a licensed archival image, an original chart generated from the cited dataset, or a commissioned conceptual illustration. Do not leave the bracketed production notes visible in the reader-facing PDF.</w:t>
      </w:r>
    </w:p>
    <w:p>
      <w:pPr>
        <w:pStyle w:val="MdSpace"/>
        <w:spacing w:before="0" w:after="60"/>
      </w:pPr>
    </w:p>
    <w:tbl>
      <w:tblPr>
        <w:tblStyle w:val="MdTable"/>
        <w:tblW w:type="pct" w:w="100%"/>
        <w:tblBorders>
          <w:top w:val="single" w:color="E1E4E8" w:sz="4"/>
          <w:left w:val="none"/>
          <w:bottom w:val="single" w:color="E1E4E8" w:sz="4"/>
          <w:right w:val="none"/>
          <w:insideH w:val="single" w:color="E1E4E8" w:sz="2"/>
          <w:insideV w:val="single" w:color="F6F8FA" w:sz="2"/>
        </w:tblBorders>
      </w:tblPr>
      <w:tblGrid>
        <w:gridCol w:w="100"/>
        <w:gridCol w:w="100"/>
        <w:gridCol w:w="100"/>
        <w:gridCol w:w="100"/>
      </w:tblGrid>
      <w:tr>
        <w:trPr>
          <w:cantSplit/>
          <w:tblHeader/>
          <w:trHeight w:val="720" w:hRule="atLeast"/>
        </w:trPr>
        <w:tc>
          <w:tcPr>
            <w:tcBorders>
              <w:left w:val="none"/>
            </w:tcBorders>
            <w:tcMar>
              <w:top w:type="dxa" w:w="100"/>
              <w:left w:type="dxa" w:w="120"/>
              <w:bottom w:type="dxa" w:w="100"/>
              <w:right w:type="dxa" w:w="120"/>
            </w:tcMar>
            <w:vAlign w:val="center"/>
          </w:tcPr>
          <w:p>
            <w:pPr>
              <w:pStyle w:val="MdTableHeader"/>
            </w:pPr>
            <w:r>
              <w:t xml:space="preserve">Figure</w:t>
            </w:r>
          </w:p>
        </w:tc>
        <w:tc>
          <w:tcPr>
            <w:tcMar>
              <w:top w:type="dxa" w:w="100"/>
              <w:left w:type="dxa" w:w="120"/>
              <w:bottom w:type="dxa" w:w="100"/>
              <w:right w:type="dxa" w:w="120"/>
            </w:tcMar>
            <w:vAlign w:val="center"/>
          </w:tcPr>
          <w:p>
            <w:pPr>
              <w:pStyle w:val="MdTableHeader"/>
            </w:pPr>
            <w:r>
              <w:t xml:space="preserve">Type</w:t>
            </w:r>
          </w:p>
        </w:tc>
        <w:tc>
          <w:tcPr>
            <w:tcMar>
              <w:top w:type="dxa" w:w="100"/>
              <w:left w:type="dxa" w:w="120"/>
              <w:bottom w:type="dxa" w:w="100"/>
              <w:right w:type="dxa" w:w="120"/>
            </w:tcMar>
            <w:vAlign w:val="center"/>
          </w:tcPr>
          <w:p>
            <w:pPr>
              <w:pStyle w:val="MdTableHeader"/>
            </w:pPr>
            <w:r>
              <w:t xml:space="preserve">Target placement</w:t>
            </w:r>
          </w:p>
        </w:tc>
        <w:tc>
          <w:tcPr>
            <w:tcBorders>
              <w:right w:val="none"/>
            </w:tcBorders>
            <w:tcMar>
              <w:top w:type="dxa" w:w="100"/>
              <w:left w:type="dxa" w:w="120"/>
              <w:bottom w:type="dxa" w:w="100"/>
              <w:right w:type="dxa" w:w="120"/>
            </w:tcMar>
            <w:vAlign w:val="center"/>
          </w:tcPr>
          <w:p>
            <w:pPr>
              <w:pStyle w:val="MdTableHeader"/>
            </w:pPr>
            <w:r>
              <w:t xml:space="preserve">Required source note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w:t>
            </w:r>
          </w:p>
        </w:tc>
        <w:tc>
          <w:tcPr>
            <w:tcMar>
              <w:top w:type="dxa" w:w="80"/>
              <w:left w:type="dxa" w:w="120"/>
              <w:bottom w:type="dxa" w:w="80"/>
              <w:right w:type="dxa" w:w="120"/>
            </w:tcMar>
            <w:vAlign w:val="center"/>
          </w:tcPr>
          <w:p>
            <w:pPr>
              <w:pStyle w:val="MdTableCell"/>
            </w:pPr>
            <w:r>
              <w:t xml:space="preserve">Conceptual map</w:t>
            </w:r>
          </w:p>
        </w:tc>
        <w:tc>
          <w:tcPr>
            <w:tcMar>
              <w:top w:type="dxa" w:w="80"/>
              <w:left w:type="dxa" w:w="120"/>
              <w:bottom w:type="dxa" w:w="80"/>
              <w:right w:type="dxa" w:w="120"/>
            </w:tcMar>
            <w:vAlign w:val="center"/>
          </w:tcPr>
          <w:p>
            <w:pPr>
              <w:pStyle w:val="MdTableCell"/>
            </w:pPr>
            <w:r>
              <w:t xml:space="preserve">Introduction, half page</w:t>
            </w:r>
          </w:p>
        </w:tc>
        <w:tc>
          <w:tcPr>
            <w:tcBorders>
              <w:right w:val="none"/>
            </w:tcBorders>
            <w:tcMar>
              <w:top w:type="dxa" w:w="80"/>
              <w:left w:type="dxa" w:w="120"/>
              <w:bottom w:type="dxa" w:w="80"/>
              <w:right w:type="dxa" w:w="120"/>
            </w:tcMar>
            <w:vAlign w:val="center"/>
          </w:tcPr>
          <w:p>
            <w:pPr>
              <w:pStyle w:val="MdTableCell"/>
            </w:pPr>
            <w:r>
              <w:t xml:space="preserve">Author’s synthesis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2</w:t>
            </w:r>
          </w:p>
        </w:tc>
        <w:tc>
          <w:tcPr>
            <w:tcMar>
              <w:top w:type="dxa" w:w="80"/>
              <w:left w:type="dxa" w:w="120"/>
              <w:bottom w:type="dxa" w:w="80"/>
              <w:right w:type="dxa" w:w="120"/>
            </w:tcMar>
            <w:vAlign w:val="center"/>
          </w:tcPr>
          <w:p>
            <w:pPr>
              <w:pStyle w:val="MdTableCell"/>
            </w:pPr>
            <w:r>
              <w:t xml:space="preserve">Historical evidence matrix</w:t>
            </w:r>
          </w:p>
        </w:tc>
        <w:tc>
          <w:tcPr>
            <w:tcMar>
              <w:top w:type="dxa" w:w="80"/>
              <w:left w:type="dxa" w:w="120"/>
              <w:bottom w:type="dxa" w:w="80"/>
              <w:right w:type="dxa" w:w="120"/>
            </w:tcMar>
            <w:vAlign w:val="center"/>
          </w:tcPr>
          <w:p>
            <w:pPr>
              <w:pStyle w:val="MdTableCell"/>
            </w:pPr>
            <w:r>
              <w:t xml:space="preserve">Chapter 1, one-third page</w:t>
            </w:r>
          </w:p>
        </w:tc>
        <w:tc>
          <w:tcPr>
            <w:tcBorders>
              <w:right w:val="none"/>
            </w:tcBorders>
            <w:tcMar>
              <w:top w:type="dxa" w:w="80"/>
              <w:left w:type="dxa" w:w="120"/>
              <w:bottom w:type="dxa" w:w="80"/>
              <w:right w:type="dxa" w:w="120"/>
            </w:tcMar>
            <w:vAlign w:val="center"/>
          </w:tcPr>
          <w:p>
            <w:pPr>
              <w:pStyle w:val="MdTableCell"/>
            </w:pPr>
            <w:r>
              <w:t xml:space="preserve">Historical studies and archive catalogue</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3</w:t>
            </w:r>
          </w:p>
        </w:tc>
        <w:tc>
          <w:tcPr>
            <w:tcMar>
              <w:top w:type="dxa" w:w="80"/>
              <w:left w:type="dxa" w:w="120"/>
              <w:bottom w:type="dxa" w:w="80"/>
              <w:right w:type="dxa" w:w="120"/>
            </w:tcMar>
            <w:vAlign w:val="center"/>
          </w:tcPr>
          <w:p>
            <w:pPr>
              <w:pStyle w:val="MdTableCell"/>
            </w:pPr>
            <w:r>
              <w:t xml:space="preserve">Institutional timeline</w:t>
            </w:r>
          </w:p>
        </w:tc>
        <w:tc>
          <w:tcPr>
            <w:tcMar>
              <w:top w:type="dxa" w:w="80"/>
              <w:left w:type="dxa" w:w="120"/>
              <w:bottom w:type="dxa" w:w="80"/>
              <w:right w:type="dxa" w:w="120"/>
            </w:tcMar>
            <w:vAlign w:val="center"/>
          </w:tcPr>
          <w:p>
            <w:pPr>
              <w:pStyle w:val="MdTableCell"/>
            </w:pPr>
            <w:r>
              <w:t xml:space="preserve">Chapter 2, full width</w:t>
            </w:r>
          </w:p>
        </w:tc>
        <w:tc>
          <w:tcPr>
            <w:tcBorders>
              <w:right w:val="none"/>
            </w:tcBorders>
            <w:tcMar>
              <w:top w:type="dxa" w:w="80"/>
              <w:left w:type="dxa" w:w="120"/>
              <w:bottom w:type="dxa" w:w="80"/>
              <w:right w:type="dxa" w:w="120"/>
            </w:tcMar>
            <w:vAlign w:val="center"/>
          </w:tcPr>
          <w:p>
            <w:pPr>
              <w:pStyle w:val="MdTableCell"/>
            </w:pPr>
            <w:r>
              <w:t xml:space="preserve">Colonial legal and Korean historical sources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4</w:t>
            </w:r>
          </w:p>
        </w:tc>
        <w:tc>
          <w:tcPr>
            <w:tcMar>
              <w:top w:type="dxa" w:w="80"/>
              <w:left w:type="dxa" w:w="120"/>
              <w:bottom w:type="dxa" w:w="80"/>
              <w:right w:type="dxa" w:w="120"/>
            </w:tcMar>
            <w:vAlign w:val="center"/>
          </w:tcPr>
          <w:p>
            <w:pPr>
              <w:pStyle w:val="MdTableCell"/>
            </w:pPr>
            <w:r>
              <w:t xml:space="preserve">Gendered economy diagram</w:t>
            </w:r>
          </w:p>
        </w:tc>
        <w:tc>
          <w:tcPr>
            <w:tcMar>
              <w:top w:type="dxa" w:w="80"/>
              <w:left w:type="dxa" w:w="120"/>
              <w:bottom w:type="dxa" w:w="80"/>
              <w:right w:type="dxa" w:w="120"/>
            </w:tcMar>
            <w:vAlign w:val="center"/>
          </w:tcPr>
          <w:p>
            <w:pPr>
              <w:pStyle w:val="MdTableCell"/>
            </w:pPr>
            <w:r>
              <w:t xml:space="preserve">Chapter 2, half page</w:t>
            </w:r>
          </w:p>
        </w:tc>
        <w:tc>
          <w:tcPr>
            <w:tcBorders>
              <w:right w:val="none"/>
            </w:tcBorders>
            <w:tcMar>
              <w:top w:type="dxa" w:w="80"/>
              <w:left w:type="dxa" w:w="120"/>
              <w:bottom w:type="dxa" w:w="80"/>
              <w:right w:type="dxa" w:w="120"/>
            </w:tcMar>
            <w:vAlign w:val="center"/>
          </w:tcPr>
          <w:p>
            <w:pPr>
              <w:pStyle w:val="MdTableCell"/>
            </w:pPr>
            <w:r>
              <w:t xml:space="preserve">Labor-history sources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5</w:t>
            </w:r>
          </w:p>
        </w:tc>
        <w:tc>
          <w:tcPr>
            <w:tcMar>
              <w:top w:type="dxa" w:w="80"/>
              <w:left w:type="dxa" w:w="120"/>
              <w:bottom w:type="dxa" w:w="80"/>
              <w:right w:type="dxa" w:w="120"/>
            </w:tcMar>
            <w:vAlign w:val="center"/>
          </w:tcPr>
          <w:p>
            <w:pPr>
              <w:pStyle w:val="MdTableCell"/>
            </w:pPr>
            <w:r>
              <w:t xml:space="preserve">Registration architecture</w:t>
            </w:r>
          </w:p>
        </w:tc>
        <w:tc>
          <w:tcPr>
            <w:tcMar>
              <w:top w:type="dxa" w:w="80"/>
              <w:left w:type="dxa" w:w="120"/>
              <w:bottom w:type="dxa" w:w="80"/>
              <w:right w:type="dxa" w:w="120"/>
            </w:tcMar>
            <w:vAlign w:val="center"/>
          </w:tcPr>
          <w:p>
            <w:pPr>
              <w:pStyle w:val="MdTableCell"/>
            </w:pPr>
            <w:r>
              <w:t xml:space="preserve">Chapter 3, full page</w:t>
            </w:r>
          </w:p>
        </w:tc>
        <w:tc>
          <w:tcPr>
            <w:tcBorders>
              <w:right w:val="none"/>
            </w:tcBorders>
            <w:tcMar>
              <w:top w:type="dxa" w:w="80"/>
              <w:left w:type="dxa" w:w="120"/>
              <w:bottom w:type="dxa" w:w="80"/>
              <w:right w:type="dxa" w:w="120"/>
            </w:tcMar>
            <w:vAlign w:val="center"/>
          </w:tcPr>
          <w:p>
            <w:pPr>
              <w:pStyle w:val="MdTableCell"/>
            </w:pPr>
            <w:r>
              <w:t xml:space="preserve">Civil Act and Family Relations Registration Act</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6</w:t>
            </w:r>
          </w:p>
        </w:tc>
        <w:tc>
          <w:tcPr>
            <w:tcMar>
              <w:top w:type="dxa" w:w="80"/>
              <w:left w:type="dxa" w:w="120"/>
              <w:bottom w:type="dxa" w:w="80"/>
              <w:right w:type="dxa" w:w="120"/>
            </w:tcMar>
            <w:vAlign w:val="center"/>
          </w:tcPr>
          <w:p>
            <w:pPr>
              <w:pStyle w:val="MdTableCell"/>
            </w:pPr>
            <w:r>
              <w:t xml:space="preserve">Legal reform timeline</w:t>
            </w:r>
          </w:p>
        </w:tc>
        <w:tc>
          <w:tcPr>
            <w:tcMar>
              <w:top w:type="dxa" w:w="80"/>
              <w:left w:type="dxa" w:w="120"/>
              <w:bottom w:type="dxa" w:w="80"/>
              <w:right w:type="dxa" w:w="120"/>
            </w:tcMar>
            <w:vAlign w:val="center"/>
          </w:tcPr>
          <w:p>
            <w:pPr>
              <w:pStyle w:val="MdTableCell"/>
            </w:pPr>
            <w:r>
              <w:t xml:space="preserve">Chapter 3, one-third page</w:t>
            </w:r>
          </w:p>
        </w:tc>
        <w:tc>
          <w:tcPr>
            <w:tcBorders>
              <w:right w:val="none"/>
            </w:tcBorders>
            <w:tcMar>
              <w:top w:type="dxa" w:w="80"/>
              <w:left w:type="dxa" w:w="120"/>
              <w:bottom w:type="dxa" w:w="80"/>
              <w:right w:type="dxa" w:w="120"/>
            </w:tcMar>
            <w:vAlign w:val="center"/>
          </w:tcPr>
          <w:p>
            <w:pPr>
              <w:pStyle w:val="MdTableCell"/>
            </w:pPr>
            <w:r>
              <w:t xml:space="preserve">Constitutional Court, NHRC, KLRI</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7</w:t>
            </w:r>
          </w:p>
        </w:tc>
        <w:tc>
          <w:tcPr>
            <w:tcMar>
              <w:top w:type="dxa" w:w="80"/>
              <w:left w:type="dxa" w:w="120"/>
              <w:bottom w:type="dxa" w:w="80"/>
              <w:right w:type="dxa" w:w="120"/>
            </w:tcMar>
            <w:vAlign w:val="center"/>
          </w:tcPr>
          <w:p>
            <w:pPr>
              <w:pStyle w:val="MdTableCell"/>
            </w:pPr>
            <w:r>
              <w:t xml:space="preserve">Female labor-force participation</w:t>
            </w:r>
          </w:p>
        </w:tc>
        <w:tc>
          <w:tcPr>
            <w:tcMar>
              <w:top w:type="dxa" w:w="80"/>
              <w:left w:type="dxa" w:w="120"/>
              <w:bottom w:type="dxa" w:w="80"/>
              <w:right w:type="dxa" w:w="120"/>
            </w:tcMar>
            <w:vAlign w:val="center"/>
          </w:tcPr>
          <w:p>
            <w:pPr>
              <w:pStyle w:val="MdTableCell"/>
            </w:pPr>
            <w:r>
              <w:t xml:space="preserve">Chapter 4, full width</w:t>
            </w:r>
          </w:p>
        </w:tc>
        <w:tc>
          <w:tcPr>
            <w:tcBorders>
              <w:right w:val="none"/>
            </w:tcBorders>
            <w:tcMar>
              <w:top w:type="dxa" w:w="80"/>
              <w:left w:type="dxa" w:w="120"/>
              <w:bottom w:type="dxa" w:w="80"/>
              <w:right w:type="dxa" w:w="120"/>
            </w:tcMar>
            <w:vAlign w:val="center"/>
          </w:tcPr>
          <w:p>
            <w:pPr>
              <w:pStyle w:val="MdTableCell"/>
            </w:pPr>
            <w:r>
              <w:t xml:space="preserve">Statistics Korea/OECD, matching definitions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8</w:t>
            </w:r>
          </w:p>
        </w:tc>
        <w:tc>
          <w:tcPr>
            <w:tcMar>
              <w:top w:type="dxa" w:w="80"/>
              <w:left w:type="dxa" w:w="120"/>
              <w:bottom w:type="dxa" w:w="80"/>
              <w:right w:type="dxa" w:w="120"/>
            </w:tcMar>
            <w:vAlign w:val="center"/>
          </w:tcPr>
          <w:p>
            <w:pPr>
              <w:pStyle w:val="MdTableCell"/>
            </w:pPr>
            <w:r>
              <w:t xml:space="preserve">Unpaid work and care time</w:t>
            </w:r>
          </w:p>
        </w:tc>
        <w:tc>
          <w:tcPr>
            <w:tcMar>
              <w:top w:type="dxa" w:w="80"/>
              <w:left w:type="dxa" w:w="120"/>
              <w:bottom w:type="dxa" w:w="80"/>
              <w:right w:type="dxa" w:w="120"/>
            </w:tcMar>
            <w:vAlign w:val="center"/>
          </w:tcPr>
          <w:p>
            <w:pPr>
              <w:pStyle w:val="MdTableCell"/>
            </w:pPr>
            <w:r>
              <w:t xml:space="preserve">Chapter 4, half page</w:t>
            </w:r>
          </w:p>
        </w:tc>
        <w:tc>
          <w:tcPr>
            <w:tcBorders>
              <w:right w:val="none"/>
            </w:tcBorders>
            <w:tcMar>
              <w:top w:type="dxa" w:w="80"/>
              <w:left w:type="dxa" w:w="120"/>
              <w:bottom w:type="dxa" w:w="80"/>
              <w:right w:type="dxa" w:w="120"/>
            </w:tcMar>
            <w:vAlign w:val="center"/>
          </w:tcPr>
          <w:p>
            <w:pPr>
              <w:pStyle w:val="MdTableCell"/>
            </w:pPr>
            <w:r>
              <w:t xml:space="preserve">Statistics Korea Time Use Survey</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9</w:t>
            </w:r>
          </w:p>
        </w:tc>
        <w:tc>
          <w:tcPr>
            <w:tcMar>
              <w:top w:type="dxa" w:w="80"/>
              <w:left w:type="dxa" w:w="120"/>
              <w:bottom w:type="dxa" w:w="80"/>
              <w:right w:type="dxa" w:w="120"/>
            </w:tcMar>
            <w:vAlign w:val="center"/>
          </w:tcPr>
          <w:p>
            <w:pPr>
              <w:pStyle w:val="MdTableCell"/>
            </w:pPr>
            <w:r>
              <w:t xml:space="preserve">TFR and marriage timing</w:t>
            </w:r>
          </w:p>
        </w:tc>
        <w:tc>
          <w:tcPr>
            <w:tcMar>
              <w:top w:type="dxa" w:w="80"/>
              <w:left w:type="dxa" w:w="120"/>
              <w:bottom w:type="dxa" w:w="80"/>
              <w:right w:type="dxa" w:w="120"/>
            </w:tcMar>
            <w:vAlign w:val="center"/>
          </w:tcPr>
          <w:p>
            <w:pPr>
              <w:pStyle w:val="MdTableCell"/>
            </w:pPr>
            <w:r>
              <w:t xml:space="preserve">Chapter 5, full width</w:t>
            </w:r>
          </w:p>
        </w:tc>
        <w:tc>
          <w:tcPr>
            <w:tcBorders>
              <w:right w:val="none"/>
            </w:tcBorders>
            <w:tcMar>
              <w:top w:type="dxa" w:w="80"/>
              <w:left w:type="dxa" w:w="120"/>
              <w:bottom w:type="dxa" w:w="80"/>
              <w:right w:type="dxa" w:w="120"/>
            </w:tcMar>
            <w:vAlign w:val="center"/>
          </w:tcPr>
          <w:p>
            <w:pPr>
              <w:pStyle w:val="MdTableCell"/>
            </w:pPr>
            <w:r>
              <w:t xml:space="preserve">Statistics Korea vital and marriage statistics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10</w:t>
            </w:r>
          </w:p>
        </w:tc>
        <w:tc>
          <w:tcPr>
            <w:tcMar>
              <w:top w:type="dxa" w:w="80"/>
              <w:left w:type="dxa" w:w="120"/>
              <w:bottom w:type="dxa" w:w="80"/>
              <w:right w:type="dxa" w:w="120"/>
            </w:tcMar>
            <w:vAlign w:val="center"/>
          </w:tcPr>
          <w:p>
            <w:pPr>
              <w:pStyle w:val="MdTableCell"/>
            </w:pPr>
            <w:r>
              <w:t xml:space="preserve">One-person households by age</w:t>
            </w:r>
          </w:p>
        </w:tc>
        <w:tc>
          <w:tcPr>
            <w:tcMar>
              <w:top w:type="dxa" w:w="80"/>
              <w:left w:type="dxa" w:w="120"/>
              <w:bottom w:type="dxa" w:w="80"/>
              <w:right w:type="dxa" w:w="120"/>
            </w:tcMar>
            <w:vAlign w:val="center"/>
          </w:tcPr>
          <w:p>
            <w:pPr>
              <w:pStyle w:val="MdTableCell"/>
            </w:pPr>
            <w:r>
              <w:t xml:space="preserve">Chapter 5, half page</w:t>
            </w:r>
          </w:p>
        </w:tc>
        <w:tc>
          <w:tcPr>
            <w:tcBorders>
              <w:right w:val="none"/>
            </w:tcBorders>
            <w:tcMar>
              <w:top w:type="dxa" w:w="80"/>
              <w:left w:type="dxa" w:w="120"/>
              <w:bottom w:type="dxa" w:w="80"/>
              <w:right w:type="dxa" w:w="120"/>
            </w:tcMar>
            <w:vAlign w:val="center"/>
          </w:tcPr>
          <w:p>
            <w:pPr>
              <w:pStyle w:val="MdTableCell"/>
            </w:pPr>
            <w:r>
              <w:t xml:space="preserve">Population and Housing Census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11</w:t>
            </w:r>
          </w:p>
        </w:tc>
        <w:tc>
          <w:tcPr>
            <w:tcMar>
              <w:top w:type="dxa" w:w="80"/>
              <w:left w:type="dxa" w:w="120"/>
              <w:bottom w:type="dxa" w:w="80"/>
              <w:right w:type="dxa" w:w="120"/>
            </w:tcMar>
            <w:vAlign w:val="center"/>
          </w:tcPr>
          <w:p>
            <w:pPr>
              <w:pStyle w:val="MdTableCell"/>
            </w:pPr>
            <w:r>
              <w:t xml:space="preserve">Mixed care system</w:t>
            </w:r>
          </w:p>
        </w:tc>
        <w:tc>
          <w:tcPr>
            <w:tcMar>
              <w:top w:type="dxa" w:w="80"/>
              <w:left w:type="dxa" w:w="120"/>
              <w:bottom w:type="dxa" w:w="80"/>
              <w:right w:type="dxa" w:w="120"/>
            </w:tcMar>
            <w:vAlign w:val="center"/>
          </w:tcPr>
          <w:p>
            <w:pPr>
              <w:pStyle w:val="MdTableCell"/>
            </w:pPr>
            <w:r>
              <w:t xml:space="preserve">Chapter 5, one-third page</w:t>
            </w:r>
          </w:p>
        </w:tc>
        <w:tc>
          <w:tcPr>
            <w:tcBorders>
              <w:right w:val="none"/>
            </w:tcBorders>
            <w:tcMar>
              <w:top w:type="dxa" w:w="80"/>
              <w:left w:type="dxa" w:w="120"/>
              <w:bottom w:type="dxa" w:w="80"/>
              <w:right w:type="dxa" w:w="120"/>
            </w:tcMar>
            <w:vAlign w:val="center"/>
          </w:tcPr>
          <w:p>
            <w:pPr>
              <w:pStyle w:val="MdTableCell"/>
            </w:pPr>
            <w:r>
              <w:t xml:space="preserve">Long-term-care policy sources</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12</w:t>
            </w:r>
          </w:p>
        </w:tc>
        <w:tc>
          <w:tcPr>
            <w:tcMar>
              <w:top w:type="dxa" w:w="80"/>
              <w:left w:type="dxa" w:w="120"/>
              <w:bottom w:type="dxa" w:w="80"/>
              <w:right w:type="dxa" w:w="120"/>
            </w:tcMar>
            <w:vAlign w:val="center"/>
          </w:tcPr>
          <w:p>
            <w:pPr>
              <w:pStyle w:val="MdTableCell"/>
            </w:pPr>
            <w:r>
              <w:t xml:space="preserve">Risk allocation matrix</w:t>
            </w:r>
          </w:p>
        </w:tc>
        <w:tc>
          <w:tcPr>
            <w:tcMar>
              <w:top w:type="dxa" w:w="80"/>
              <w:left w:type="dxa" w:w="120"/>
              <w:bottom w:type="dxa" w:w="80"/>
              <w:right w:type="dxa" w:w="120"/>
            </w:tcMar>
            <w:vAlign w:val="center"/>
          </w:tcPr>
          <w:p>
            <w:pPr>
              <w:pStyle w:val="MdTableCell"/>
            </w:pPr>
            <w:r>
              <w:t xml:space="preserve">Chapter 6, half page</w:t>
            </w:r>
          </w:p>
        </w:tc>
        <w:tc>
          <w:tcPr>
            <w:tcBorders>
              <w:right w:val="none"/>
            </w:tcBorders>
            <w:tcMar>
              <w:top w:type="dxa" w:w="80"/>
              <w:left w:type="dxa" w:w="120"/>
              <w:bottom w:type="dxa" w:w="80"/>
              <w:right w:type="dxa" w:w="120"/>
            </w:tcMar>
            <w:vAlign w:val="center"/>
          </w:tcPr>
          <w:p>
            <w:pPr>
              <w:pStyle w:val="MdTableCell"/>
            </w:pPr>
            <w:r>
              <w:t xml:space="preserve">Author’s analytical framework</w:t>
            </w:r>
          </w:p>
        </w:tc>
      </w:tr>
      <w:tr>
        <w:trPr>
          <w:cantSplit/>
          <w:trHeight w:val="576" w:hRule="atLeast"/>
        </w:trPr>
        <w:tc>
          <w:tcPr>
            <w:tcBorders>
              <w:left w:val="none"/>
            </w:tcBorders>
            <w:tcMar>
              <w:top w:type="dxa" w:w="80"/>
              <w:left w:type="dxa" w:w="120"/>
              <w:bottom w:type="dxa" w:w="80"/>
              <w:right w:type="dxa" w:w="120"/>
            </w:tcMar>
            <w:vAlign w:val="center"/>
          </w:tcPr>
          <w:p>
            <w:pPr>
              <w:pStyle w:val="MdTableCell"/>
            </w:pPr>
            <w:r>
              <w:t xml:space="preserve">13</w:t>
            </w:r>
          </w:p>
        </w:tc>
        <w:tc>
          <w:tcPr>
            <w:tcMar>
              <w:top w:type="dxa" w:w="80"/>
              <w:left w:type="dxa" w:w="120"/>
              <w:bottom w:type="dxa" w:w="80"/>
              <w:right w:type="dxa" w:w="120"/>
            </w:tcMar>
            <w:vAlign w:val="center"/>
          </w:tcPr>
          <w:p>
            <w:pPr>
              <w:pStyle w:val="MdTableCell"/>
            </w:pPr>
            <w:r>
              <w:t xml:space="preserve">Family rights bundle</w:t>
            </w:r>
          </w:p>
        </w:tc>
        <w:tc>
          <w:tcPr>
            <w:tcMar>
              <w:top w:type="dxa" w:w="80"/>
              <w:left w:type="dxa" w:w="120"/>
              <w:bottom w:type="dxa" w:w="80"/>
              <w:right w:type="dxa" w:w="120"/>
            </w:tcMar>
            <w:vAlign w:val="center"/>
          </w:tcPr>
          <w:p>
            <w:pPr>
              <w:pStyle w:val="MdTableCell"/>
            </w:pPr>
            <w:r>
              <w:t xml:space="preserve">Chapter 6, full page</w:t>
            </w:r>
          </w:p>
        </w:tc>
        <w:tc>
          <w:tcPr>
            <w:tcBorders>
              <w:right w:val="none"/>
            </w:tcBorders>
            <w:tcMar>
              <w:top w:type="dxa" w:w="80"/>
              <w:left w:type="dxa" w:w="120"/>
              <w:bottom w:type="dxa" w:w="80"/>
              <w:right w:type="dxa" w:w="120"/>
            </w:tcMar>
            <w:vAlign w:val="center"/>
          </w:tcPr>
          <w:p>
            <w:pPr>
              <w:pStyle w:val="MdTableCell"/>
            </w:pPr>
            <w:r>
              <w:t xml:space="preserve">Current law versus proposals clearly separated</w:t>
            </w:r>
          </w:p>
        </w:tc>
      </w:tr>
      <w:tr>
        <w:trPr>
          <w:cantSplit/>
          <w:trHeight w:val="576" w:hRule="atLeast"/>
        </w:trPr>
        <w:tc>
          <w:tcPr>
            <w:tcBorders>
              <w:left w:val="none"/>
              <w:bottom w:val="single" w:color="E1E4E8" w:sz="4"/>
            </w:tcBorders>
            <w:tcMar>
              <w:top w:type="dxa" w:w="80"/>
              <w:left w:type="dxa" w:w="120"/>
              <w:bottom w:type="dxa" w:w="80"/>
              <w:right w:type="dxa" w:w="120"/>
            </w:tcMar>
            <w:vAlign w:val="center"/>
          </w:tcPr>
          <w:p>
            <w:pPr>
              <w:pStyle w:val="MdTableCell"/>
            </w:pPr>
            <w:r>
              <w:t xml:space="preserve">14</w:t>
            </w:r>
          </w:p>
        </w:tc>
        <w:tc>
          <w:tcPr>
            <w:tcBorders>
              <w:bottom w:val="single" w:color="E1E4E8" w:sz="4"/>
            </w:tcBorders>
            <w:tcMar>
              <w:top w:type="dxa" w:w="80"/>
              <w:left w:type="dxa" w:w="120"/>
              <w:bottom w:type="dxa" w:w="80"/>
              <w:right w:type="dxa" w:w="120"/>
            </w:tcMar>
            <w:vAlign w:val="center"/>
          </w:tcPr>
          <w:p>
            <w:pPr>
              <w:pStyle w:val="MdTableCell"/>
            </w:pPr>
            <w:r>
              <w:t xml:space="preserve">Adaptive social contract scorecard</w:t>
            </w:r>
          </w:p>
        </w:tc>
        <w:tc>
          <w:tcPr>
            <w:tcBorders>
              <w:bottom w:val="single" w:color="E1E4E8" w:sz="4"/>
            </w:tcBorders>
            <w:tcMar>
              <w:top w:type="dxa" w:w="80"/>
              <w:left w:type="dxa" w:w="120"/>
              <w:bottom w:type="dxa" w:w="80"/>
              <w:right w:type="dxa" w:w="120"/>
            </w:tcMar>
            <w:vAlign w:val="center"/>
          </w:tcPr>
          <w:p>
            <w:pPr>
              <w:pStyle w:val="MdTableCell"/>
            </w:pPr>
            <w:r>
              <w:t xml:space="preserve">Chapter 6, one-third page</w:t>
            </w:r>
          </w:p>
        </w:tc>
        <w:tc>
          <w:tcPr>
            <w:tcBorders>
              <w:bottom w:val="single" w:color="E1E4E8" w:sz="4"/>
              <w:right w:val="none"/>
            </w:tcBorders>
            <w:tcMar>
              <w:top w:type="dxa" w:w="80"/>
              <w:left w:type="dxa" w:w="120"/>
              <w:bottom w:type="dxa" w:w="80"/>
              <w:right w:type="dxa" w:w="120"/>
            </w:tcMar>
            <w:vAlign w:val="center"/>
          </w:tcPr>
          <w:p>
            <w:pPr>
              <w:pStyle w:val="MdTableCell"/>
            </w:pPr>
            <w:r>
              <w:t xml:space="preserve">Author’s synthesis</w:t>
            </w:r>
          </w:p>
        </w:tc>
      </w:tr>
    </w:tbl>
    <w:p>
      <w:pPr>
        <w:pStyle w:val="Heading2"/>
        <w:pStyle w:val="MdHeading2"/>
      </w:pPr>
      <w:r>
        <w:t xml:space="preserve">Statistical appendix and references</w:t>
      </w:r>
    </w:p>
    <w:p>
      <w:pPr>
        <w:pStyle w:val="MdParagraph"/>
      </w:pPr>
      <w:r>
        <w:t xml:space="preserve">The statistical appendix should reproduce the exact series used in the figures, including year, unit, denominator, and URL or table number. At minimum, the final edition should list the 2023 TFR of 0.72, the 2023 one-person-household share of 35.5%, the applicable OECD gender wage-gap year and definition, and the OECD tertiary-attainment measure used for Korea. Updates from 2024 and 2025 should be labeled as updates rather than silently mixed into historical charts.</w:t>
      </w:r>
    </w:p>
    <w:p>
      <w:pPr>
        <w:pStyle w:val="MdSpace"/>
        <w:spacing w:before="0" w:after="60"/>
      </w:pPr>
    </w:p>
    <w:p>
      <w:pPr>
        <w:pStyle w:val="Heading2"/>
        <w:pStyle w:val="MdHeading2"/>
      </w:pPr>
      <w:r>
        <w:t xml:space="preserve">Source notes for the revised edition</w:t>
      </w:r>
    </w:p>
    <w:p>
      <w:pPr>
        <w:pStyle w:val="MdParagraph"/>
      </w:pPr>
      <w:r>
        <w:t xml:space="preserve">The historical chapters use legal texts, genealogies, inheritance records, and modern scholarship as different kinds of evidence. The discussion of early Joseon inheritance and genealogy should be read alongside studies that document equal or partible inheritance practices and the inclusion of daughters’ descendants in early genealogical records.[15] [16] These sources support a claim of historical variation and gradual transformation, not a claim that premodern Korea was socially egalitarian.</w:t>
      </w:r>
    </w:p>
    <w:p>
      <w:pPr>
        <w:pStyle w:val="MdSpace"/>
        <w:spacing w:before="0" w:after="60"/>
      </w:pPr>
    </w:p>
    <w:p>
      <w:pPr>
        <w:pStyle w:val="MdParagraph"/>
      </w:pPr>
      <w:r>
        <w:t xml:space="preserve">The legal chapters distinguish the Civil Act, constitutional litigation, and the later family-registration system. The English translation of the Civil Act is provided for reference by the Korean Legislation Research Institute, while the National Human Rights Commission’s contemporaneous account documents the human-rights objections raised against the Hoju system.[6] [7] The final production edition should add the official Constitutional Court decision and Korean-language statutory text alongside these English-language materials.</w:t>
      </w:r>
    </w:p>
    <w:p>
      <w:pPr>
        <w:pStyle w:val="MdSpace"/>
        <w:spacing w:before="0" w:after="60"/>
      </w:pPr>
    </w:p>
    <w:p>
      <w:pPr>
        <w:pStyle w:val="MdParagraph"/>
      </w:pPr>
      <w:r>
        <w:t xml:space="preserve">The demographic chapter uses 0.72 as the </w:t>
      </w:r>
      <w:r>
        <w:rPr>
          <w:rStyle w:val="MdStrong"/>
          <w:b/>
          <w:bCs/>
        </w:rPr>
        <w:t xml:space="preserve">2023 total fertility rate</w:t>
      </w:r>
      <w:r>
        <w:t xml:space="preserve">, not as an undated current figure.[5] The 2024 national one-person-household release reports 7.829 million one-person households in 2023, equal to 35.5% of all households.[1] Later releases should be treated as updates: the preliminary 2025 birth-and-death release reports 254.5 thousand live births in 2025 and a 6.8% increase from 2024.[2]</w:t>
      </w:r>
    </w:p>
    <w:p>
      <w:pPr>
        <w:pStyle w:val="MdSpace"/>
        <w:spacing w:before="0" w:after="60"/>
      </w:pPr>
    </w:p>
    <w:p>
      <w:pPr>
        <w:pStyle w:val="MdParagraph"/>
      </w:pPr>
      <w:r>
        <w:t xml:space="preserve">The labor and education chapters follow the OECD definitions rather than using “gender gap” or “tertiary attainment” as free-floating labels. OECD defines the gender wage gap as the difference between men’s and women’s median earnings relative to men’s median earnings, generally using unadjusted gross earnings of full-time wage and salary workers.[3] The OECD’s 2025 Korea country note reports tertiary attainment for 71% of 25–34-year-olds overall; any female-only estimate above 75% must therefore be accompanied by the relevant gender-specific table and reference year.[4]</w:t>
      </w:r>
    </w:p>
    <w:p>
      <w:pPr>
        <w:pStyle w:val="MdSpace"/>
        <w:spacing w:before="0" w:after="60"/>
      </w:pPr>
    </w:p>
    <w:p>
      <w:pPr>
        <w:pStyle w:val="Heading2"/>
        <w:pStyle w:val="MdHeading2"/>
      </w:pPr>
      <w:r>
        <w:t xml:space="preserve">References</w:t>
      </w:r>
    </w:p>
    <w:p>
      <w:pPr>
        <w:pStyle w:val="MdParagraph"/>
      </w:pPr>
      <w:r>
        <w:t xml:space="preserve">[1] National Data and Statistics Office, “2024 Statistics of One-person Households,” 9 December 2024. </w:t>
      </w:r>
      <w:hyperlink w:history="1" r:id="rIdwfd87outer05t0ljscjn7">
        <w:r>
          <w:rPr>
            <w:rStyle w:val="MdLink"/>
          </w:rPr>
          <w:t xml:space="preserve">https://mods.go.kr/board.es?mid=a20101000000&amp;bid=11763&amp;tag=&amp;act=view&amp;list_no=438857&amp;ref_bid=</w:t>
        </w:r>
      </w:hyperlink>
    </w:p>
    <w:p>
      <w:pPr>
        <w:pStyle w:val="MdSpace"/>
        <w:spacing w:before="0" w:after="60"/>
      </w:pPr>
    </w:p>
    <w:p>
      <w:pPr>
        <w:pStyle w:val="MdParagraph"/>
      </w:pPr>
      <w:r>
        <w:t xml:space="preserve">[2] National Data and Statistics Office, “Preliminary Results of Birth and Death Statistics in 2025,” 25 February 2026. </w:t>
      </w:r>
      <w:hyperlink w:history="1" r:id="rIdcf3juxyjqccklgeck_74c">
        <w:r>
          <w:rPr>
            <w:rStyle w:val="MdLink"/>
          </w:rPr>
          <w:t xml:space="preserve">https://mods.go.kr/board.es?mid=a20108010000&amp;bid=11773&amp;tag=&amp;act=view&amp;list_no=444910&amp;ref_bid=11742,11743,11744,11745,11746,11747,11748,11749,11773,11774,11775,11750</w:t>
        </w:r>
      </w:hyperlink>
    </w:p>
    <w:p>
      <w:pPr>
        <w:pStyle w:val="MdSpace"/>
        <w:spacing w:before="0" w:after="60"/>
      </w:pPr>
    </w:p>
    <w:p>
      <w:pPr>
        <w:pStyle w:val="MdParagraph"/>
      </w:pPr>
      <w:r>
        <w:t xml:space="preserve">[3] OECD, “Gender Wage Gap: Definition and Source Dataset.” </w:t>
      </w:r>
      <w:hyperlink w:history="1" r:id="rIdn9ksnjwj7dyr0c8ljcgpu">
        <w:r>
          <w:rPr>
            <w:rStyle w:val="MdLink"/>
          </w:rPr>
          <w:t xml:space="preserve">https://www.oecd.org/en/data/indicators/gender-wage-gap.html</w:t>
        </w:r>
      </w:hyperlink>
    </w:p>
    <w:p>
      <w:pPr>
        <w:pStyle w:val="MdSpace"/>
        <w:spacing w:before="0" w:after="60"/>
      </w:pPr>
    </w:p>
    <w:p>
      <w:pPr>
        <w:pStyle w:val="MdParagraph"/>
      </w:pPr>
      <w:r>
        <w:t xml:space="preserve">[4] OECD, </w:t>
      </w:r>
      <w:r>
        <w:rPr>
          <w:rStyle w:val="MdEm"/>
          <w:i/>
          <w:iCs/>
        </w:rPr>
        <w:t xml:space="preserve">Education at a Glance 2025: Korea</w:t>
      </w:r>
      <w:r>
        <w:t xml:space="preserve">, Korea country note. </w:t>
      </w:r>
      <w:hyperlink w:history="1" r:id="rIdb4zswalywb5soootdqi1u">
        <w:r>
          <w:rPr>
            <w:rStyle w:val="MdLink"/>
          </w:rPr>
          <w:t xml:space="preserve">https://www.oecd.org/en/publications/education-at-a-glance-2025_1a3543e2-en/korea_252c9ed2-en.html</w:t>
        </w:r>
      </w:hyperlink>
    </w:p>
    <w:p>
      <w:pPr>
        <w:pStyle w:val="MdSpace"/>
        <w:spacing w:before="0" w:after="60"/>
      </w:pPr>
    </w:p>
    <w:p>
      <w:pPr>
        <w:pStyle w:val="MdParagraph"/>
      </w:pPr>
      <w:r>
        <w:t xml:space="preserve">[5] OECD, </w:t>
      </w:r>
      <w:r>
        <w:rPr>
          <w:rStyle w:val="MdEm"/>
          <w:i/>
          <w:iCs/>
        </w:rPr>
        <w:t xml:space="preserve">Inclusive and Sustainable Well-being in Korea</w:t>
      </w:r>
      <w:r>
        <w:t xml:space="preserve">, 2026, chapter on outcomes by gender, age, and education. </w:t>
      </w:r>
      <w:hyperlink w:history="1" r:id="rIdbcocdcyqrnncu35ma8evl">
        <w:r>
          <w:rPr>
            <w:rStyle w:val="MdLink"/>
          </w:rPr>
          <w:t xml:space="preserve">https://www.oecd.org/en/publications/inclusive-and-sustainable-well-being-in-korea_a8940343-en/full-report/ensuring-inclusive-and-sustainable-well-being-for-korean-men-and-women-throughout-their-lives-outcomes-by-gender-age-and-education_23e274c3.html</w:t>
        </w:r>
      </w:hyperlink>
    </w:p>
    <w:p>
      <w:pPr>
        <w:pStyle w:val="MdSpace"/>
        <w:spacing w:before="0" w:after="60"/>
      </w:pPr>
    </w:p>
    <w:p>
      <w:pPr>
        <w:pStyle w:val="MdParagraph"/>
      </w:pPr>
      <w:r>
        <w:t xml:space="preserve">[6] Korean Legislation Research Institute, “Civil Act,” English reference translation. </w:t>
      </w:r>
      <w:hyperlink w:history="1" r:id="rIdgencayn0ge62wy6xdoqtu">
        <w:r>
          <w:rPr>
            <w:rStyle w:val="MdLink"/>
          </w:rPr>
          <w:t xml:space="preserve">https://elaw.klri.re.kr/eng_service/lawView.do?hseq=61788&amp;lang=ENG</w:t>
        </w:r>
      </w:hyperlink>
    </w:p>
    <w:p>
      <w:pPr>
        <w:pStyle w:val="MdSpace"/>
        <w:spacing w:before="0" w:after="60"/>
      </w:pPr>
    </w:p>
    <w:p>
      <w:pPr>
        <w:pStyle w:val="MdParagraph"/>
      </w:pPr>
      <w:r>
        <w:t xml:space="preserve">[7] National Human Rights Commission of Korea, “The Hoju System is Unconstitutional and a Violation of Human Rights,” 11 March 2003. </w:t>
      </w:r>
      <w:hyperlink w:history="1" r:id="rIdmzg4sdzzlinabeoef2x5c">
        <w:r>
          <w:rPr>
            <w:rStyle w:val="MdLink"/>
          </w:rPr>
          <w:t xml:space="preserve">https://www.humanrights.go.kr/site/program/board/basicboard/view?currentpage=46&amp;menuid=002002001&amp;pagesize=10&amp;searchcategory=policy&amp;boardtypeid=7003&amp;boardid=7000525</w:t>
        </w:r>
      </w:hyperlink>
    </w:p>
    <w:p>
      <w:pPr>
        <w:pStyle w:val="MdSpace"/>
        <w:spacing w:before="0" w:after="60"/>
      </w:pPr>
    </w:p>
    <w:p>
      <w:pPr>
        <w:pStyle w:val="MdParagraph"/>
      </w:pPr>
      <w:r>
        <w:t xml:space="preserve">[8] Korean Women’s Development Institute, “Rise of Single-person Households and Direction for Family Policy.” </w:t>
      </w:r>
      <w:hyperlink w:history="1" r:id="rIdjyprdjh8wja_qq_sscz12">
        <w:r>
          <w:rPr>
            <w:rStyle w:val="MdLink"/>
          </w:rPr>
          <w:t xml:space="preserve">https://eng.kwdi.re.kr/inc/download.do?ut=A&amp;upIdx=102029&amp;no=1</w:t>
        </w:r>
      </w:hyperlink>
    </w:p>
    <w:p>
      <w:pPr>
        <w:pStyle w:val="MdSpace"/>
        <w:spacing w:before="0" w:after="60"/>
      </w:pPr>
    </w:p>
    <w:p>
      <w:pPr>
        <w:pStyle w:val="MdParagraph"/>
      </w:pPr>
      <w:r>
        <w:t xml:space="preserve">[9] Kim, M. S., “Rites and Rights: Lineage Property and Law in Korea,” </w:t>
      </w:r>
      <w:r>
        <w:rPr>
          <w:rStyle w:val="MdEm"/>
          <w:i/>
          <w:iCs/>
        </w:rPr>
        <w:t xml:space="preserve">Acta Koreana</w:t>
      </w:r>
      <w:r>
        <w:t xml:space="preserve"> / OpenEdition, 2020. </w:t>
      </w:r>
      <w:hyperlink w:history="1" r:id="rId29cvr4ybcissyypmr5cn2">
        <w:r>
          <w:rPr>
            <w:rStyle w:val="MdLink"/>
          </w:rPr>
          <w:t xml:space="preserve">https://journals.openedition.org/acrh/11667</w:t>
        </w:r>
      </w:hyperlink>
    </w:p>
    <w:p>
      <w:pPr>
        <w:pStyle w:val="MdSpace"/>
        <w:spacing w:before="0" w:after="60"/>
      </w:pPr>
    </w:p>
    <w:p>
      <w:pPr>
        <w:pStyle w:val="MdParagraph"/>
      </w:pPr>
      <w:r>
        <w:t xml:space="preserve">[10] SAGE Journals, “The Impacts of Birth Order and Social Status on the Genealogy Register,” 2010. </w:t>
      </w:r>
      <w:hyperlink w:history="1" r:id="rId0zdec39tokke4xzfvthrv">
        <w:r>
          <w:rPr>
            <w:rStyle w:val="MdLink"/>
          </w:rPr>
          <w:t xml:space="preserve">https://journals.sagepub.com/doi/10.1177/0363199009357158</w:t>
        </w:r>
      </w:hyperlink>
    </w:p>
    <w:p>
      <w:pPr>
        <w:pStyle w:val="MdSpace"/>
        <w:spacing w:before="0" w:after="60"/>
      </w:pPr>
    </w:p>
    <w:p>
      <w:pPr>
        <w:pStyle w:val="MdParagraph"/>
      </w:pPr>
      <w:r>
        <w:t xml:space="preserve">[11] Korean Journal of Historical Studies, research on equal inheritance and Joseon-period family/property history. </w:t>
      </w:r>
      <w:hyperlink w:history="1" r:id="rIdehklky1kkw8efevthtbc-">
        <w:r>
          <w:rPr>
            <w:rStyle w:val="MdLink"/>
          </w:rPr>
          <w:t xml:space="preserve">https://journal.kci.go.kr/hksh/archive/articleView?artiId=ART001482849</w:t>
        </w:r>
      </w:hyperlink>
    </w:p>
    <w:p>
      <w:pPr>
        <w:pStyle w:val="MdSpace"/>
        <w:spacing w:before="0" w:after="60"/>
      </w:pPr>
    </w:p>
    <w:p>
      <w:pPr>
        <w:pStyle w:val="MdParagraph"/>
      </w:pPr>
      <w:r>
        <w:t xml:space="preserve">[12] OECD, </w:t>
      </w:r>
      <w:r>
        <w:rPr>
          <w:rStyle w:val="MdEm"/>
          <w:i/>
          <w:iCs/>
        </w:rPr>
        <w:t xml:space="preserve">Inclusive and Sustainable Well-being in Korea</w:t>
      </w:r>
      <w:r>
        <w:t xml:space="preserve">, 2026. </w:t>
      </w:r>
      <w:hyperlink w:history="1" r:id="rIdsk4n5a3thmxwfu3ledzen">
        <w:r>
          <w:rPr>
            <w:rStyle w:val="MdLink"/>
          </w:rPr>
          <w:t xml:space="preserve">https://www.oecd.org/en/publications/inclusive-and-sustainable-well-being-in-korea_a8940343-en.html</w:t>
        </w:r>
      </w:hyperlink>
    </w:p>
    <w:p>
      <w:pPr>
        <w:pStyle w:val="MdSpace"/>
        <w:spacing w:before="0" w:after="60"/>
      </w:pPr>
    </w:p>
    <w:p>
      <w:pPr>
        <w:pStyle w:val="MdParagraph"/>
      </w:pPr>
      <w:r>
        <w:t xml:space="preserve">[13] OECD, </w:t>
      </w:r>
      <w:r>
        <w:rPr>
          <w:rStyle w:val="MdEm"/>
          <w:i/>
          <w:iCs/>
        </w:rPr>
        <w:t xml:space="preserve">Education at a Glance 2025</w:t>
      </w:r>
      <w:r>
        <w:t xml:space="preserve">. </w:t>
      </w:r>
      <w:hyperlink w:history="1" r:id="rIdbgvo3kcrb81bwuhmcctni">
        <w:r>
          <w:rPr>
            <w:rStyle w:val="MdLink"/>
          </w:rPr>
          <w:t xml:space="preserve">https://www.oecd.org/en/publications/2025/09/education-at-a-glance-2025_c58fc9ae.html</w:t>
        </w:r>
      </w:hyperlink>
    </w:p>
    <w:p>
      <w:pPr>
        <w:pStyle w:val="MdSpace"/>
        <w:spacing w:before="0" w:after="60"/>
      </w:pPr>
    </w:p>
    <w:p>
      <w:pPr>
        <w:pStyle w:val="MdParagraph"/>
      </w:pPr>
      <w:r>
        <w:t xml:space="preserve">[14] Statistics Korea / National Data and Statistics Office, Population and Household Statistics portal. </w:t>
      </w:r>
      <w:hyperlink w:history="1" r:id="rIdqheouo_ry1i2w324kvway">
        <w:r>
          <w:rPr>
            <w:rStyle w:val="MdLink"/>
          </w:rPr>
          <w:t xml:space="preserve">https://mods.go.kr/menu.es?mid=a20108000000</w:t>
        </w:r>
      </w:hyperlink>
    </w:p>
    <w:p>
      <w:pPr>
        <w:pStyle w:val="MdSpace"/>
        <w:spacing w:before="0" w:after="60"/>
      </w:pPr>
    </w:p>
    <w:p>
      <w:pPr>
        <w:pStyle w:val="MdParagraph"/>
      </w:pPr>
      <w:r>
        <w:t xml:space="preserve">[15] National Library of Korea, “Having a Glimpse of the Lives of Women in the Past.” </w:t>
      </w:r>
      <w:hyperlink w:history="1" r:id="rIdvdc7ok1xwjoerajns9n58">
        <w:r>
          <w:rPr>
            <w:rStyle w:val="MdLink"/>
          </w:rPr>
          <w:t xml:space="preserve">https://www.nl.go.kr/EN/contents/EN32701000000.do</w:t>
        </w:r>
      </w:hyperlink>
    </w:p>
    <w:p>
      <w:pPr>
        <w:pStyle w:val="MdSpace"/>
        <w:spacing w:before="0" w:after="60"/>
      </w:pPr>
    </w:p>
    <w:p>
      <w:pPr>
        <w:pStyle w:val="MdParagraph"/>
      </w:pPr>
      <w:r>
        <w:t xml:space="preserve">[16] Korean Genealogy Research, “The Historical Background of the Popularity of Genealogies in Korea.” </w:t>
      </w:r>
      <w:hyperlink w:history="1" r:id="rIdxtotc6kavs7irlruwmnma">
        <w:r>
          <w:rPr>
            <w:rStyle w:val="MdLink"/>
          </w:rPr>
          <w:t xml:space="preserve">https://journals.sagepub.com/doi/abs/10.1177/0363199020928364</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wfd87outer05t0ljscjn7" Type="http://schemas.openxmlformats.org/officeDocument/2006/relationships/hyperlink" Target="https://mods.go.kr/board.es?mid=a20101000000&amp;bid=11763&amp;tag=&amp;act=view&amp;list_no=438857&amp;ref_bid=" TargetMode="External"/><Relationship Id="rIdcf3juxyjqccklgeck_74c" Type="http://schemas.openxmlformats.org/officeDocument/2006/relationships/hyperlink" Target="https://mods.go.kr/board.es?mid=a20108010000&amp;bid=11773&amp;tag=&amp;act=view&amp;list_no=444910&amp;ref_bid=11742,11743,11744,11745,11746,11747,11748,11749,11773,11774,11775,11750" TargetMode="External"/><Relationship Id="rIdn9ksnjwj7dyr0c8ljcgpu" Type="http://schemas.openxmlformats.org/officeDocument/2006/relationships/hyperlink" Target="https://www.oecd.org/en/data/indicators/gender-wage-gap.html" TargetMode="External"/><Relationship Id="rIdb4zswalywb5soootdqi1u" Type="http://schemas.openxmlformats.org/officeDocument/2006/relationships/hyperlink" Target="https://www.oecd.org/en/publications/education-at-a-glance-2025_1a3543e2-en/korea_252c9ed2-en.html" TargetMode="External"/><Relationship Id="rIdbcocdcyqrnncu35ma8evl" Type="http://schemas.openxmlformats.org/officeDocument/2006/relationships/hyperlink" Target="https://www.oecd.org/en/publications/inclusive-and-sustainable-well-being-in-korea_a8940343-en/full-report/ensuring-inclusive-and-sustainable-well-being-for-korean-men-and-women-throughout-their-lives-outcomes-by-gender-age-and-education_23e274c3.html" TargetMode="External"/><Relationship Id="rIdgencayn0ge62wy6xdoqtu" Type="http://schemas.openxmlformats.org/officeDocument/2006/relationships/hyperlink" Target="https://elaw.klri.re.kr/eng_service/lawView.do?hseq=61788&amp;lang=ENG" TargetMode="External"/><Relationship Id="rIdmzg4sdzzlinabeoef2x5c" Type="http://schemas.openxmlformats.org/officeDocument/2006/relationships/hyperlink" Target="https://www.humanrights.go.kr/site/program/board/basicboard/view?currentpage=46&amp;menuid=002002001&amp;pagesize=10&amp;searchcategory=policy&amp;boardtypeid=7003&amp;boardid=7000525" TargetMode="External"/><Relationship Id="rIdjyprdjh8wja_qq_sscz12" Type="http://schemas.openxmlformats.org/officeDocument/2006/relationships/hyperlink" Target="https://eng.kwdi.re.kr/inc/download.do?ut=A&amp;upIdx=102029&amp;no=1" TargetMode="External"/><Relationship Id="rId29cvr4ybcissyypmr5cn2" Type="http://schemas.openxmlformats.org/officeDocument/2006/relationships/hyperlink" Target="https://journals.openedition.org/acrh/11667" TargetMode="External"/><Relationship Id="rId0zdec39tokke4xzfvthrv" Type="http://schemas.openxmlformats.org/officeDocument/2006/relationships/hyperlink" Target="https://journals.sagepub.com/doi/10.1177/0363199009357158" TargetMode="External"/><Relationship Id="rIdehklky1kkw8efevthtbc-" Type="http://schemas.openxmlformats.org/officeDocument/2006/relationships/hyperlink" Target="https://journal.kci.go.kr/hksh/archive/articleView?artiId=ART001482849" TargetMode="External"/><Relationship Id="rIdsk4n5a3thmxwfu3ledzen" Type="http://schemas.openxmlformats.org/officeDocument/2006/relationships/hyperlink" Target="https://www.oecd.org/en/publications/inclusive-and-sustainable-well-being-in-korea_a8940343-en.html" TargetMode="External"/><Relationship Id="rIdbgvo3kcrb81bwuhmcctni" Type="http://schemas.openxmlformats.org/officeDocument/2006/relationships/hyperlink" Target="https://www.oecd.org/en/publications/2025/09/education-at-a-glance-2025_c58fc9ae.html" TargetMode="External"/><Relationship Id="rIdqheouo_ry1i2w324kvway" Type="http://schemas.openxmlformats.org/officeDocument/2006/relationships/hyperlink" Target="https://mods.go.kr/menu.es?mid=a20108000000" TargetMode="External"/><Relationship Id="rIdvdc7ok1xwjoerajns9n58" Type="http://schemas.openxmlformats.org/officeDocument/2006/relationships/hyperlink" Target="https://www.nl.go.kr/EN/contents/EN32701000000.do" TargetMode="External"/><Relationship Id="rIdxtotc6kavs7irlruwmnma" Type="http://schemas.openxmlformats.org/officeDocument/2006/relationships/hyperlink" Target="https://journals.sagepub.com/doi/abs/10.1177/0363199020928364" TargetMode="External"/><Relationship Id="rId22"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2026-08-27T00:57:36.498Z</dcterms:created>
  <dcterms:modified xsi:type="dcterms:W3CDTF">2026-08-27T00:57:36.498Z</dcterms:modified>
</cp:coreProperties>
</file>

<file path=docProps/custom.xml><?xml version="1.0" encoding="utf-8"?>
<Properties xmlns="http://schemas.openxmlformats.org/officeDocument/2006/custom-properties" xmlns:vt="http://schemas.openxmlformats.org/officeDocument/2006/docPropsVTypes"/>
</file>