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56"/>
          <w:szCs w:val="56"/>
        </w:rPr>
        <w:t xml:space="preserve">MCP and A2A</w:t>
      </w:r>
    </w:p>
    <w:p>
      <w:pPr>
        <w:spacing w:after="300"/>
      </w:pPr>
      <w:r>
        <w:rPr>
          <w:i/>
          <w:iCs/>
          <w:color w:val="555555"/>
          <w:sz w:val="32"/>
          <w:szCs w:val="32"/>
        </w:rPr>
        <w:t xml:space="preserve">Two Protocols for the Age of AI Agents</w:t>
      </w:r>
    </w:p>
    <w:p>
      <w:pPr>
        <w:spacing w:after="160" w:line="276"/>
      </w:pPr>
      <w:r>
        <w:rPr>
          <w:sz w:val="22"/>
          <w:szCs w:val="22"/>
        </w:rPr>
        <w:t xml:space="preserve">From the Model Context Protocol to the Agent2Agent Protocol: how AI agents access tools and data, and how they collaborate with one another.</w:t>
      </w:r>
    </w:p>
    <w:p>
      <w:pPr>
        <w:spacing w:after="200"/>
      </w:pPr>
    </w:p>
    <w:p>
      <w:pPr>
        <w:spacing w:after="160" w:line="276"/>
      </w:pPr>
      <w:r>
        <w:rPr>
          <w:b/>
          <w:bCs/>
        </w:rPr>
        <w:t xml:space="preserve">University lecture — Duration: 1h 45min</w:t>
      </w:r>
    </w:p>
    <w:p>
      <w:pPr>
        <w:spacing w:after="160" w:line="276"/>
      </w:pPr>
      <w:r>
        <w:t xml:space="preserve">Topics: Model Context Protocol (MCP) · Agent2Agent Protocol (A2A) · hybrid agent-to-agent architectures</w:t>
      </w:r>
    </w:p>
    <w:p>
      <w:pPr>
        <w:spacing w:after="100"/>
      </w:pPr>
    </w:p>
    <w:p>
      <w:pPr>
        <w:spacing w:after="160" w:line="276"/>
      </w:pPr>
      <w:r>
        <w:rPr>
          <w:i/>
          <w:iCs/>
          <w:color w:val="666666"/>
        </w:rPr>
        <w:t xml:space="preserve">Supporting material prepared from official documentation (modelcontextprotocol.io, a2a-protocol.org), from Anthropic's post "Effective context engineering for AI agents," and from a corpus of papers and articles on practical applications in RAG, digital health (FHIR/HL7), and multi-agent systems.</w:t>
      </w:r>
    </w:p>
    <w:p>
      <w:r>
        <w:br w:type="page"/>
      </w:r>
    </w:p>
    <w:p>
      <w:pPr>
        <w:pStyle w:val="Heading1"/>
        <w:spacing w:after="200" w:before="400"/>
      </w:pPr>
      <w:r>
        <w:t xml:space="preserve">Lecture Agenda (1h 45min)</w:t>
      </w:r>
    </w:p>
    <w:p>
      <w:pPr>
        <w:spacing w:after="160" w:line="276"/>
      </w:pPr>
      <w:r>
        <w:t xml:space="preserve">The lecture is organized into seven blocks. Timings are indicative and leave room for questions along the way.</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500"/>
        <w:gridCol w:w="7350"/>
        <w:gridCol w:w="1500"/>
      </w:tblGrid>
      <w:tr>
        <w:trPr>
          <w:tblHeader/>
        </w:trPr>
        <w:tc>
          <w:tcPr>
            <w:tcW w:type="dxa" w:w="500"/>
            <w:shd w:fill="1F4E79" w:val="clear"/>
            <w:tcMar>
              <w:top w:type="dxa" w:w="100"/>
              <w:left w:type="dxa" w:w="120"/>
              <w:bottom w:type="dxa" w:w="100"/>
              <w:right w:type="dxa" w:w="120"/>
            </w:tcMar>
          </w:tcPr>
          <w:p>
            <w:r>
              <w:rPr>
                <w:b/>
                <w:bCs/>
                <w:color w:val="FFFFFF"/>
              </w:rPr>
              <w:t xml:space="preserve">#</w:t>
            </w:r>
          </w:p>
        </w:tc>
        <w:tc>
          <w:tcPr>
            <w:tcW w:type="dxa" w:w="7350"/>
            <w:shd w:fill="1F4E79" w:val="clear"/>
            <w:tcMar>
              <w:top w:type="dxa" w:w="100"/>
              <w:left w:type="dxa" w:w="120"/>
              <w:bottom w:type="dxa" w:w="100"/>
              <w:right w:type="dxa" w:w="120"/>
            </w:tcMar>
          </w:tcPr>
          <w:p>
            <w:r>
              <w:rPr>
                <w:b/>
                <w:bCs/>
                <w:color w:val="FFFFFF"/>
              </w:rPr>
              <w:t xml:space="preserve">Block</w:t>
            </w:r>
          </w:p>
        </w:tc>
        <w:tc>
          <w:tcPr>
            <w:tcW w:type="dxa" w:w="1500"/>
            <w:shd w:fill="1F4E79" w:val="clear"/>
            <w:tcMar>
              <w:top w:type="dxa" w:w="100"/>
              <w:left w:type="dxa" w:w="120"/>
              <w:bottom w:type="dxa" w:w="100"/>
              <w:right w:type="dxa" w:w="120"/>
            </w:tcMar>
          </w:tcPr>
          <w:p>
            <w:r>
              <w:rPr>
                <w:b/>
                <w:bCs/>
                <w:color w:val="FFFFFF"/>
              </w:rPr>
              <w:t xml:space="preserve">Duration</w:t>
            </w:r>
          </w:p>
        </w:tc>
      </w:tr>
      <w:tr>
        <w:tc>
          <w:tcPr>
            <w:tcW w:type="dxa" w:w="500"/>
            <w:shd w:fill="FFFFFF" w:val="clear"/>
            <w:tcMar>
              <w:top w:type="dxa" w:w="100"/>
              <w:left w:type="dxa" w:w="120"/>
              <w:bottom w:type="dxa" w:w="100"/>
              <w:right w:type="dxa" w:w="120"/>
            </w:tcMar>
          </w:tcPr>
          <w:p>
            <w:r>
              <w:t xml:space="preserve">1</w:t>
            </w:r>
          </w:p>
        </w:tc>
        <w:tc>
          <w:tcPr>
            <w:tcW w:type="dxa" w:w="7350"/>
            <w:shd w:fill="FFFFFF" w:val="clear"/>
            <w:tcMar>
              <w:top w:type="dxa" w:w="100"/>
              <w:left w:type="dxa" w:w="120"/>
              <w:bottom w:type="dxa" w:w="100"/>
              <w:right w:type="dxa" w:w="120"/>
            </w:tcMar>
          </w:tcPr>
          <w:p>
            <w:r>
              <w:t xml:space="preserve">Why two different protocols are needed — motivation and historical context</w:t>
            </w:r>
          </w:p>
        </w:tc>
        <w:tc>
          <w:tcPr>
            <w:tcW w:type="dxa" w:w="1500"/>
            <w:shd w:fill="FFFFFF" w:val="clear"/>
            <w:tcMar>
              <w:top w:type="dxa" w:w="100"/>
              <w:left w:type="dxa" w:w="120"/>
              <w:bottom w:type="dxa" w:w="100"/>
              <w:right w:type="dxa" w:w="120"/>
            </w:tcMar>
          </w:tcPr>
          <w:p>
            <w:r>
              <w:t xml:space="preserve">10 min</w:t>
            </w:r>
          </w:p>
        </w:tc>
      </w:tr>
      <w:tr>
        <w:tc>
          <w:tcPr>
            <w:tcW w:type="dxa" w:w="500"/>
            <w:shd w:fill="F2F2F2" w:val="clear"/>
            <w:tcMar>
              <w:top w:type="dxa" w:w="100"/>
              <w:left w:type="dxa" w:w="120"/>
              <w:bottom w:type="dxa" w:w="100"/>
              <w:right w:type="dxa" w:w="120"/>
            </w:tcMar>
          </w:tcPr>
          <w:p>
            <w:r>
              <w:t xml:space="preserve">2</w:t>
            </w:r>
          </w:p>
        </w:tc>
        <w:tc>
          <w:tcPr>
            <w:tcW w:type="dxa" w:w="7350"/>
            <w:shd w:fill="F2F2F2" w:val="clear"/>
            <w:tcMar>
              <w:top w:type="dxa" w:w="100"/>
              <w:left w:type="dxa" w:w="120"/>
              <w:bottom w:type="dxa" w:w="100"/>
              <w:right w:type="dxa" w:w="120"/>
            </w:tcMar>
          </w:tcPr>
          <w:p>
            <w:r>
              <w:t xml:space="preserve">MCP — architecture, components, practical example, context engineering, and data privacy</w:t>
            </w:r>
          </w:p>
        </w:tc>
        <w:tc>
          <w:tcPr>
            <w:tcW w:type="dxa" w:w="1500"/>
            <w:shd w:fill="F2F2F2" w:val="clear"/>
            <w:tcMar>
              <w:top w:type="dxa" w:w="100"/>
              <w:left w:type="dxa" w:w="120"/>
              <w:bottom w:type="dxa" w:w="100"/>
              <w:right w:type="dxa" w:w="120"/>
            </w:tcMar>
          </w:tcPr>
          <w:p>
            <w:r>
              <w:t xml:space="preserve">30 min</w:t>
            </w:r>
          </w:p>
        </w:tc>
      </w:tr>
      <w:tr>
        <w:tc>
          <w:tcPr>
            <w:tcW w:type="dxa" w:w="500"/>
            <w:shd w:fill="FFFFFF" w:val="clear"/>
            <w:tcMar>
              <w:top w:type="dxa" w:w="100"/>
              <w:left w:type="dxa" w:w="120"/>
              <w:bottom w:type="dxa" w:w="100"/>
              <w:right w:type="dxa" w:w="120"/>
            </w:tcMar>
          </w:tcPr>
          <w:p>
            <w:r>
              <w:t xml:space="preserve">3</w:t>
            </w:r>
          </w:p>
        </w:tc>
        <w:tc>
          <w:tcPr>
            <w:tcW w:type="dxa" w:w="7350"/>
            <w:shd w:fill="FFFFFF" w:val="clear"/>
            <w:tcMar>
              <w:top w:type="dxa" w:w="100"/>
              <w:left w:type="dxa" w:w="120"/>
              <w:bottom w:type="dxa" w:w="100"/>
              <w:right w:type="dxa" w:w="120"/>
            </w:tcMar>
          </w:tcPr>
          <w:p>
            <w:r>
              <w:t xml:space="preserve">A2A — architecture, Agent Card, task lifecycle</w:t>
            </w:r>
          </w:p>
        </w:tc>
        <w:tc>
          <w:tcPr>
            <w:tcW w:type="dxa" w:w="1500"/>
            <w:shd w:fill="FFFFFF" w:val="clear"/>
            <w:tcMar>
              <w:top w:type="dxa" w:w="100"/>
              <w:left w:type="dxa" w:w="120"/>
              <w:bottom w:type="dxa" w:w="100"/>
              <w:right w:type="dxa" w:w="120"/>
            </w:tcMar>
          </w:tcPr>
          <w:p>
            <w:r>
              <w:t xml:space="preserve">25 min</w:t>
            </w:r>
          </w:p>
        </w:tc>
      </w:tr>
      <w:tr>
        <w:tc>
          <w:tcPr>
            <w:tcW w:type="dxa" w:w="500"/>
            <w:shd w:fill="F2F2F2" w:val="clear"/>
            <w:tcMar>
              <w:top w:type="dxa" w:w="100"/>
              <w:left w:type="dxa" w:w="120"/>
              <w:bottom w:type="dxa" w:w="100"/>
              <w:right w:type="dxa" w:w="120"/>
            </w:tcMar>
          </w:tcPr>
          <w:p>
            <w:r>
              <w:t xml:space="preserve">4</w:t>
            </w:r>
          </w:p>
        </w:tc>
        <w:tc>
          <w:tcPr>
            <w:tcW w:type="dxa" w:w="7350"/>
            <w:shd w:fill="F2F2F2" w:val="clear"/>
            <w:tcMar>
              <w:top w:type="dxa" w:w="100"/>
              <w:left w:type="dxa" w:w="120"/>
              <w:bottom w:type="dxa" w:w="100"/>
              <w:right w:type="dxa" w:w="120"/>
            </w:tcMar>
          </w:tcPr>
          <w:p>
            <w:r>
              <w:t xml:space="preserve">Direct comparison, official synergy, and data privacy across both protocols</w:t>
            </w:r>
          </w:p>
        </w:tc>
        <w:tc>
          <w:tcPr>
            <w:tcW w:type="dxa" w:w="1500"/>
            <w:shd w:fill="F2F2F2" w:val="clear"/>
            <w:tcMar>
              <w:top w:type="dxa" w:w="100"/>
              <w:left w:type="dxa" w:w="120"/>
              <w:bottom w:type="dxa" w:w="100"/>
              <w:right w:type="dxa" w:w="120"/>
            </w:tcMar>
          </w:tcPr>
          <w:p>
            <w:r>
              <w:t xml:space="preserve">15 min</w:t>
            </w:r>
          </w:p>
        </w:tc>
      </w:tr>
      <w:tr>
        <w:tc>
          <w:tcPr>
            <w:tcW w:type="dxa" w:w="500"/>
            <w:shd w:fill="FFFFFF" w:val="clear"/>
            <w:tcMar>
              <w:top w:type="dxa" w:w="100"/>
              <w:left w:type="dxa" w:w="120"/>
              <w:bottom w:type="dxa" w:w="100"/>
              <w:right w:type="dxa" w:w="120"/>
            </w:tcMar>
          </w:tcPr>
          <w:p>
            <w:r>
              <w:t xml:space="preserve">5</w:t>
            </w:r>
          </w:p>
        </w:tc>
        <w:tc>
          <w:tcPr>
            <w:tcW w:type="dxa" w:w="7350"/>
            <w:shd w:fill="FFFFFF" w:val="clear"/>
            <w:tcMar>
              <w:top w:type="dxa" w:w="100"/>
              <w:left w:type="dxa" w:w="120"/>
              <w:bottom w:type="dxa" w:w="100"/>
              <w:right w:type="dxa" w:w="120"/>
            </w:tcMar>
          </w:tcPr>
          <w:p>
            <w:r>
              <w:t xml:space="preserve">Real-world case studies (clinical RAG, HL7, multi-agent)</w:t>
            </w:r>
          </w:p>
        </w:tc>
        <w:tc>
          <w:tcPr>
            <w:tcW w:type="dxa" w:w="1500"/>
            <w:shd w:fill="FFFFFF" w:val="clear"/>
            <w:tcMar>
              <w:top w:type="dxa" w:w="100"/>
              <w:left w:type="dxa" w:w="120"/>
              <w:bottom w:type="dxa" w:w="100"/>
              <w:right w:type="dxa" w:w="120"/>
            </w:tcMar>
          </w:tcPr>
          <w:p>
            <w:r>
              <w:t xml:space="preserve">15 min</w:t>
            </w:r>
          </w:p>
        </w:tc>
      </w:tr>
      <w:tr>
        <w:tc>
          <w:tcPr>
            <w:tcW w:type="dxa" w:w="500"/>
            <w:shd w:fill="F2F2F2" w:val="clear"/>
            <w:tcMar>
              <w:top w:type="dxa" w:w="100"/>
              <w:left w:type="dxa" w:w="120"/>
              <w:bottom w:type="dxa" w:w="100"/>
              <w:right w:type="dxa" w:w="120"/>
            </w:tcMar>
          </w:tcPr>
          <w:p>
            <w:r>
              <w:t xml:space="preserve">6</w:t>
            </w:r>
          </w:p>
        </w:tc>
        <w:tc>
          <w:tcPr>
            <w:tcW w:type="dxa" w:w="7350"/>
            <w:shd w:fill="F2F2F2" w:val="clear"/>
            <w:tcMar>
              <w:top w:type="dxa" w:w="100"/>
              <w:left w:type="dxa" w:w="120"/>
              <w:bottom w:type="dxa" w:w="100"/>
              <w:right w:type="dxa" w:w="120"/>
            </w:tcMar>
          </w:tcPr>
          <w:p>
            <w:r>
              <w:t xml:space="preserve">Demonstration project: A2A + MCP in the same system</w:t>
            </w:r>
          </w:p>
        </w:tc>
        <w:tc>
          <w:tcPr>
            <w:tcW w:type="dxa" w:w="1500"/>
            <w:shd w:fill="F2F2F2" w:val="clear"/>
            <w:tcMar>
              <w:top w:type="dxa" w:w="100"/>
              <w:left w:type="dxa" w:w="120"/>
              <w:bottom w:type="dxa" w:w="100"/>
              <w:right w:type="dxa" w:w="120"/>
            </w:tcMar>
          </w:tcPr>
          <w:p>
            <w:r>
              <w:t xml:space="preserve">15 min</w:t>
            </w:r>
          </w:p>
        </w:tc>
      </w:tr>
      <w:tr>
        <w:tc>
          <w:tcPr>
            <w:tcW w:type="dxa" w:w="500"/>
            <w:shd w:fill="FFFFFF" w:val="clear"/>
            <w:tcMar>
              <w:top w:type="dxa" w:w="100"/>
              <w:left w:type="dxa" w:w="120"/>
              <w:bottom w:type="dxa" w:w="100"/>
              <w:right w:type="dxa" w:w="120"/>
            </w:tcMar>
          </w:tcPr>
          <w:p>
            <w:r>
              <w:t xml:space="preserve">7</w:t>
            </w:r>
          </w:p>
        </w:tc>
        <w:tc>
          <w:tcPr>
            <w:tcW w:type="dxa" w:w="7350"/>
            <w:shd w:fill="FFFFFF" w:val="clear"/>
            <w:tcMar>
              <w:top w:type="dxa" w:w="100"/>
              <w:left w:type="dxa" w:w="120"/>
              <w:bottom w:type="dxa" w:w="100"/>
              <w:right w:type="dxa" w:w="120"/>
            </w:tcMar>
          </w:tcPr>
          <w:p>
            <w:r>
              <w:t xml:space="preserve">Security, practical limitations, conclusions and questions</w:t>
            </w:r>
          </w:p>
        </w:tc>
        <w:tc>
          <w:tcPr>
            <w:tcW w:type="dxa" w:w="1500"/>
            <w:shd w:fill="FFFFFF" w:val="clear"/>
            <w:tcMar>
              <w:top w:type="dxa" w:w="100"/>
              <w:left w:type="dxa" w:w="120"/>
              <w:bottom w:type="dxa" w:w="100"/>
              <w:right w:type="dxa" w:w="120"/>
            </w:tcMar>
          </w:tcPr>
          <w:p>
            <w:r>
              <w:t xml:space="preserve">5 min</w:t>
            </w:r>
          </w:p>
        </w:tc>
      </w:tr>
    </w:tbl>
    <w:p>
      <w:pPr>
        <w:spacing w:after="200"/>
      </w:pPr>
    </w:p>
    <w:p>
      <w:pPr>
        <w:pStyle w:val="Heading2"/>
        <w:spacing w:after="150" w:before="300"/>
      </w:pPr>
      <w:r>
        <w:t xml:space="preserve">Learning Objectives</w:t>
      </w:r>
    </w:p>
    <w:p>
      <w:pPr>
        <w:spacing w:after="160" w:line="276"/>
      </w:pPr>
      <w:r>
        <w:t xml:space="preserve">By the end of the lecture, students should be able to:</w:t>
      </w:r>
    </w:p>
    <w:p>
      <w:pPr>
        <w:pStyle w:val="ListParagraph"/>
        <w:numPr>
          <w:ilvl w:val="0"/>
          <w:numId w:val="1"/>
        </w:numPr>
        <w:spacing w:after="80" w:line="276"/>
      </w:pPr>
      <w:r>
        <w:t xml:space="preserve">Explain the N×M integration problem that MCP and A2A solve;</w:t>
      </w:r>
    </w:p>
    <w:p>
      <w:pPr>
        <w:pStyle w:val="ListParagraph"/>
        <w:numPr>
          <w:ilvl w:val="0"/>
          <w:numId w:val="1"/>
        </w:numPr>
        <w:spacing w:after="80" w:line="276"/>
      </w:pPr>
      <w:r>
        <w:t xml:space="preserve">Describe the architecture and components of both protocols;</w:t>
      </w:r>
    </w:p>
    <w:p>
      <w:pPr>
        <w:pStyle w:val="ListParagraph"/>
        <w:numPr>
          <w:ilvl w:val="0"/>
          <w:numId w:val="1"/>
        </w:numPr>
        <w:spacing w:after="80" w:line="276"/>
      </w:pPr>
      <w:r>
        <w:t xml:space="preserve">Distinguish when to use one, the other, or both together;</w:t>
      </w:r>
    </w:p>
    <w:p>
      <w:pPr>
        <w:pStyle w:val="ListParagraph"/>
        <w:numPr>
          <w:ilvl w:val="0"/>
          <w:numId w:val="1"/>
        </w:numPr>
        <w:spacing w:after="80" w:line="276"/>
      </w:pPr>
      <w:r>
        <w:t xml:space="preserve">Read/design a minimal architecture that combines them;</w:t>
      </w:r>
    </w:p>
    <w:p>
      <w:pPr>
        <w:pStyle w:val="ListParagraph"/>
        <w:numPr>
          <w:ilvl w:val="0"/>
          <w:numId w:val="1"/>
        </w:numPr>
        <w:spacing w:after="80" w:line="276"/>
      </w:pPr>
      <w:r>
        <w:t xml:space="preserve">Assess the data-privacy implications of each protocol and how they can be used safely with sensitive data.</w:t>
      </w:r>
    </w:p>
    <w:p>
      <w:r>
        <w:br w:type="page"/>
      </w:r>
    </w:p>
    <w:p>
      <w:pPr>
        <w:pStyle w:val="Heading1"/>
        <w:spacing w:after="200" w:before="400"/>
      </w:pPr>
      <w:r>
        <w:t xml:space="preserve">BLOCK 1 — MOTIVATION AND CONTEXT (10 minutes)</w:t>
      </w:r>
    </w:p>
    <w:p>
      <w:pPr>
        <w:pStyle w:val="Heading2"/>
        <w:spacing w:after="150" w:before="300"/>
      </w:pPr>
      <w:r>
        <w:t xml:space="preserve">1. Why Two Different Protocols Are Needed</w:t>
      </w:r>
    </w:p>
    <w:p>
      <w:pPr>
        <w:spacing w:after="160" w:line="276"/>
      </w:pPr>
      <w:r>
        <w:rPr>
          <w:i/>
          <w:iCs/>
          <w:color w:val="777777"/>
        </w:rPr>
        <w:t xml:space="preserve">Suggested timing: 0:00 – 0:10</w:t>
      </w:r>
    </w:p>
    <w:p>
      <w:pPr>
        <w:spacing w:after="160" w:line="276"/>
      </w:pPr>
      <w:r>
        <w:t xml:space="preserve">A modern AI agent is no longer a simple chatbot that responds to a prompt: it is a system that operates "in a loop," using a language model (LLM) as a reasoning engine to plan actions, call external tools, and react to results. This architectural evolution — from reactive systems to systems that plan, remember, and use tools — creates two distinct integration problems, which we will call the vertical problem and the horizontal problem.</w:t>
      </w:r>
    </w:p>
    <w:p>
      <w:pPr>
        <w:pStyle w:val="Heading3"/>
        <w:spacing w:after="120" w:before="240"/>
      </w:pPr>
      <w:r>
        <w:t xml:space="preserve">1.1 The Vertical Problem: Agent → Tools</w:t>
      </w:r>
    </w:p>
    <w:p>
      <w:pPr>
        <w:spacing w:after="160" w:line="276"/>
      </w:pPr>
      <w:r>
        <w:t xml:space="preserve">To be useful, an agent must access external data and systems: a corporate database, an electronic health record, a calendar, a code repository. Before a standard existed, every team wrote an ad-hoc integration for each pair (AI application, external system). With M AI applications and N external systems, this can require up to M × N custom integrations, each with its own authentication, its own data format, its own error handling.</w:t>
      </w:r>
    </w:p>
    <w:p>
      <w:pPr>
        <w:spacing w:after="160" w:line="276"/>
      </w:pPr>
      <w:r>
        <w:t xml:space="preserve">This is exactly the problem that, before HTTP and standardized REST APIs, plagued software-to-software integration in general — and understanding how that earlier problem was solved is the key to understanding why MCP and A2A are designed the way they are.</w:t>
      </w:r>
    </w:p>
    <w:p>
      <w:pPr>
        <w:pStyle w:val="Heading3"/>
        <w:spacing w:after="120" w:before="240"/>
      </w:pPr>
      <w:r>
        <w:t xml:space="preserve">1.1.1 Why HTTP and REST Solved the Same Problem — and What MCP/A2A Inherit From Them</w:t>
      </w:r>
    </w:p>
    <w:p>
      <w:pPr>
        <w:spacing w:after="160" w:line="276"/>
      </w:pPr>
      <w:r>
        <w:t xml:space="preserve">Before the web matured into a platform for machine-to-machine communication, connecting two systems meant agreeing, case by case, on a transport mechanism, a message format, an authentication scheme and an error-handling convention. This is precisely the M × N situation described above, just one layer down the stack: without a shared protocol, every new pair of systems required a new, bespoke agreement.</w:t>
      </w:r>
    </w:p>
    <w:p>
      <w:pPr>
        <w:spacing w:after="160" w:line="276"/>
      </w:pPr>
      <w:r>
        <w:t xml:space="preserve">HTTP solved the transport half of this problem by giving every networked system a single, universally implemented way to open a connection, send a request, and receive a response — regardless of what hardware, operating system, or programming language was on each end. REST then gave that transport a consistent semantic layer on top: resources are identified by URLs, operations map to a small fixed vocabulary of verbs (GET, POST, PUT, DELETE), and payloads are exchanged in self-describing formats such as JSON. The effect was to turn an M × N custom-integration problem into an M + N problem: build one HTTP/REST-compliant interface per system, and any other compliant system can talk to it, because both sides already agree on the transport and the shape of a request.</w:t>
      </w:r>
    </w:p>
    <w:p>
      <w:pPr>
        <w:spacing w:after="160" w:line="276"/>
      </w:pPr>
      <w:r>
        <w:t xml:space="preserve">This is the direct ancestor of what MCP and A2A do for AI agents, one level higher up the stack:</w:t>
      </w:r>
    </w:p>
    <w:p>
      <w:pPr>
        <w:pStyle w:val="ListParagraph"/>
        <w:numPr>
          <w:ilvl w:val="0"/>
          <w:numId w:val="1"/>
        </w:numPr>
        <w:spacing w:after="80" w:line="276"/>
      </w:pPr>
      <w:r>
        <w:t xml:space="preserve">MCP does for an agent's access to tools and data what REST did for services accessing other services: instead of each AI application writing bespoke code for each data source, a data source exposes a single MCP server once, following a standard contract (tools, resources, prompts, described over JSON-RPC 2.0), and any MCP-compliant agent can use it immediately.</w:t>
      </w:r>
    </w:p>
    <w:p>
      <w:pPr>
        <w:pStyle w:val="ListParagraph"/>
        <w:numPr>
          <w:ilvl w:val="0"/>
          <w:numId w:val="1"/>
        </w:numPr>
        <w:spacing w:after="80" w:line="276"/>
      </w:pPr>
      <w:r>
        <w:t xml:space="preserve">A2A does for agent-to-agent delegation what REST/HTTP did for basic service interoperability, but one layer higher: it does not just standardize how to "call an endpoint," it standardizes how one autonomous system discovers, negotiates with, and delegates a unit of work to another.</w:t>
      </w:r>
    </w:p>
    <w:p>
      <w:pPr>
        <w:spacing w:after="160" w:line="276"/>
      </w:pPr>
      <w:r>
        <w:t xml:space="preserve">Crucially, neither protocol reinvents the transport layer: MCP can run over HTTP with Server-Sent Events, and A2A is built directly on top of HTTP(S) and JSON-RPC 2.0. Both protocols deliberately reuse thirty years of proven web infrastructure — TLS, proxies, load balancers, standard authentication headers, caching — and add an AI-specific semantic layer on top of it (tools/resources/prompts for MCP; Agent Cards/tasks/artifacts for A2A). In other words: HTTP and REST solved interoperability at the level of "how do two systems exchange a resource"; MCP and A2A solve interoperability one level up, at the level of "how does an AI agent discover and use a capability," and they do so by standing on the same standardized transport rather than competing with it.</w:t>
      </w:r>
    </w:p>
    <w:p>
      <w:pPr>
        <w:pStyle w:val="Heading3"/>
        <w:spacing w:after="120" w:before="240"/>
      </w:pPr>
      <w:r>
        <w:t xml:space="preserve">1.2 The Horizontal Problem: Agent → Agent</w:t>
      </w:r>
    </w:p>
    <w:p>
      <w:pPr>
        <w:spacing w:after="160" w:line="276"/>
      </w:pPr>
      <w:r>
        <w:t xml:space="preserve">With the proliferation of specialized agents — built by different teams, on different frameworks (LangGraph, CrewAI, Google ADK, proprietary solutions), often from different companies — a second problem emerges: how do you delegate a task from one agent to another without knowing its internal implementation? Here, a standard for "accessing data" is not enough: what is needed is a protocol for negotiation and communication between autonomous entities, each of which is, to the other, a "black box."</w:t>
      </w:r>
    </w:p>
    <w:p>
      <w:pPr>
        <w:pStyle w:val="Heading3"/>
        <w:spacing w:after="120" w:before="240"/>
      </w:pPr>
      <w:r>
        <w:t xml:space="preserve">1.3 Two Standards, Two Layers of the Stack</w:t>
      </w:r>
    </w:p>
    <w:p>
      <w:pPr>
        <w:pStyle w:val="ListParagraph"/>
        <w:numPr>
          <w:ilvl w:val="0"/>
          <w:numId w:val="1"/>
        </w:numPr>
        <w:spacing w:after="80" w:line="276"/>
      </w:pPr>
      <w:r>
        <w:t xml:space="preserve">MCP (Model Context Protocol) — released by Anthropic in November 2024, solves the vertical problem: it standardizes how an agent accesses tools, data, and prompts.</w:t>
      </w:r>
    </w:p>
    <w:p>
      <w:pPr>
        <w:pStyle w:val="ListParagraph"/>
        <w:numPr>
          <w:ilvl w:val="0"/>
          <w:numId w:val="1"/>
        </w:numPr>
        <w:spacing w:after="80" w:line="276"/>
      </w:pPr>
      <w:r>
        <w:t xml:space="preserve">A2A (Agent2Agent Protocol) — announced by Google in April 2025 and subsequently donated to the Linux Foundation, solves the horizontal problem: it standardizes how heterogeneous agents communicate and collaborate.</w:t>
      </w:r>
    </w:p>
    <w:p>
      <w:pPr>
        <w:spacing w:after="160" w:line="276"/>
      </w:pPr>
      <w:r>
        <w:t xml:space="preserve">A useful analogy, which we will return to several times: if we think of a company, MCP is like the standard by which an employee accesses corporate tools (the database, the management system, the intranet); A2A is like the protocol by which two employees from different departments — or from two different companies in a supply chain — exchange a formal work request, without needing to know how the other organizes their work internally.</w:t>
      </w:r>
    </w:p>
    <w:tbl>
      <w:tblPr>
        <w:tblW w:type="pct" w:w="100%"/>
        <w:tblBorders>
          <w:top w:val="single" w:color="8DB4E2" w:sz="4"/>
          <w:left w:val="single" w:color="8DB4E2" w:sz="4"/>
          <w:bottom w:val="single" w:color="8DB4E2" w:sz="4"/>
          <w:right w:val="single" w:color="8DB4E2" w:sz="4"/>
          <w:insideH w:val="none" w:color="FFFFFF" w:sz="0"/>
          <w:insideV w:val="none" w:color="FFFFFF" w:sz="0"/>
        </w:tblBorders>
      </w:tblPr>
      <w:tblGrid>
        <w:gridCol w:w="100"/>
      </w:tblGrid>
      <w:tr>
        <w:tc>
          <w:tcPr>
            <w:shd w:fill="DCE6F1" w:val="clear"/>
            <w:tcMar>
              <w:top w:type="dxa" w:w="160"/>
              <w:left w:type="dxa" w:w="200"/>
              <w:bottom w:type="dxa" w:w="160"/>
              <w:right w:type="dxa" w:w="200"/>
            </w:tcMar>
          </w:tcPr>
          <w:p>
            <w:pPr>
              <w:spacing w:after="100"/>
            </w:pPr>
            <w:r>
              <w:rPr>
                <w:b/>
                <w:bCs/>
                <w:color w:val="1F4E79"/>
              </w:rPr>
              <w:t xml:space="preserve">Terminological note</w:t>
            </w:r>
          </w:p>
          <w:p>
            <w:pPr>
              <w:spacing w:after="160" w:line="276"/>
            </w:pPr>
            <w:r>
              <w:rPr>
                <w:i/>
                <w:iCs/>
              </w:rPr>
              <w:t xml:space="preserve">Throughout the lecture I will use the term host for the application that contains the LLM, client for the connector to a single remote server/agent, and server for whoever exposes functionality (tools in MCP, tasks in A2A). This terminology matches that used in the official documentation of both protocols.</w:t>
            </w:r>
          </w:p>
        </w:tc>
      </w:tr>
    </w:tbl>
    <w:p>
      <w:r>
        <w:br w:type="page"/>
      </w:r>
    </w:p>
    <w:p>
      <w:pPr>
        <w:pStyle w:val="Heading1"/>
        <w:spacing w:after="200" w:before="400"/>
      </w:pPr>
      <w:r>
        <w:t xml:space="preserve">BLOCK 2 — MODEL CONTEXT PROTOCOL, MCP (30 minutes)</w:t>
      </w:r>
    </w:p>
    <w:p>
      <w:pPr>
        <w:pStyle w:val="Heading2"/>
        <w:spacing w:after="150" w:before="300"/>
      </w:pPr>
      <w:r>
        <w:t xml:space="preserve">2. Model Context Protocol (MCP)</w:t>
      </w:r>
    </w:p>
    <w:p>
      <w:pPr>
        <w:spacing w:after="160" w:line="276"/>
      </w:pPr>
      <w:r>
        <w:rPr>
          <w:i/>
          <w:iCs/>
          <w:color w:val="777777"/>
        </w:rPr>
        <w:t xml:space="preserve">Suggested timing: 0:10 – 0:40</w:t>
      </w:r>
    </w:p>
    <w:p>
      <w:pPr>
        <w:pStyle w:val="Heading3"/>
        <w:spacing w:after="120" w:before="240"/>
      </w:pPr>
      <w:r>
        <w:t xml:space="preserve">2.1 Definition and Guiding Metaphor</w:t>
      </w:r>
    </w:p>
    <w:p>
      <w:pPr>
        <w:spacing w:after="160" w:line="276"/>
      </w:pPr>
      <w:r>
        <w:t xml:space="preserve">MCP is an open standard, originally developed by Anthropic, that defines how an AI application (the host) connects to external data sources, tools, and prompts. The official metaphor, which I recommend using in class because it is immediately effective: MCP is the USB-C port of AI applications. Just as USB-C replaced dozens of proprietary connectors with a single standard physical interface, MCP replaces custom integrations with a single standard logical interface between the model and the outside world.</w:t>
      </w:r>
    </w:p>
    <w:p>
      <w:pPr>
        <w:pStyle w:val="Heading3"/>
        <w:spacing w:after="120" w:before="240"/>
      </w:pPr>
      <w:r>
        <w:t xml:space="preserve">2.2 The Three Roles of the Architecture</w:t>
      </w:r>
    </w:p>
    <w:p>
      <w:pPr>
        <w:pStyle w:val="ListParagraph"/>
        <w:numPr>
          <w:ilvl w:val="0"/>
          <w:numId w:val="1"/>
        </w:numPr>
        <w:spacing w:after="80" w:line="276"/>
      </w:pPr>
      <w:r>
        <w:t xml:space="preserve">MCP Host — the application that contains and orchestrates the LLM (e.g., Claude Desktop, an IDE with an AI assistant, a custom agent). The host decides which servers to connect to.</w:t>
      </w:r>
    </w:p>
    <w:p>
      <w:pPr>
        <w:pStyle w:val="ListParagraph"/>
        <w:numPr>
          <w:ilvl w:val="0"/>
          <w:numId w:val="1"/>
        </w:numPr>
        <w:spacing w:after="80" w:line="276"/>
      </w:pPr>
      <w:r>
        <w:t xml:space="preserve">MCP Client — lives inside the host and maintains a 1:1 connection with a single MCP server. If the host connects to three different servers, it will have three client instances.</w:t>
      </w:r>
    </w:p>
    <w:p>
      <w:pPr>
        <w:pStyle w:val="ListParagraph"/>
        <w:numPr>
          <w:ilvl w:val="0"/>
          <w:numId w:val="1"/>
        </w:numPr>
        <w:spacing w:after="80" w:line="276"/>
      </w:pPr>
      <w:r>
        <w:t xml:space="preserve">MCP Server — the process (often external, sometimes local) that concretely exposes functionality: it can wrap a database, a REST API, a filesystem, a SaaS service.</w:t>
      </w:r>
    </w:p>
    <w:p>
      <w:pPr>
        <w:pStyle w:val="Heading3"/>
        <w:spacing w:after="120" w:before="240"/>
      </w:pPr>
      <w:r>
        <w:t xml:space="preserve">2.3 What an MCP Server Exposes</w:t>
      </w:r>
    </w:p>
    <w:p>
      <w:pPr>
        <w:pStyle w:val="ListParagraph"/>
        <w:numPr>
          <w:ilvl w:val="0"/>
          <w:numId w:val="1"/>
        </w:numPr>
        <w:spacing w:after="80" w:line="276"/>
      </w:pPr>
      <w:r>
        <w:t xml:space="preserve">Tools — functions that the model can invoke to perform an action (e.g., search_patient_records(id), create_task(...)). These are the equivalent of "function calling," but standardized and exposed by an external server.</w:t>
      </w:r>
    </w:p>
    <w:p>
      <w:pPr>
        <w:pStyle w:val="ListParagraph"/>
        <w:numPr>
          <w:ilvl w:val="0"/>
          <w:numId w:val="1"/>
        </w:numPr>
        <w:spacing w:after="80" w:line="276"/>
      </w:pPr>
      <w:r>
        <w:t xml:space="preserve">Resources — data that the model can read as context (e.g., the contents of a file, the result of a query, a documentation page).</w:t>
      </w:r>
    </w:p>
    <w:p>
      <w:pPr>
        <w:pStyle w:val="ListParagraph"/>
        <w:numPr>
          <w:ilvl w:val="0"/>
          <w:numId w:val="1"/>
        </w:numPr>
        <w:spacing w:after="80" w:line="276"/>
      </w:pPr>
      <w:r>
        <w:t xml:space="preserve">Prompts — reusable instruction templates, often invoked directly by the human user through the host (e.g., a slash command in a chat client).</w:t>
      </w:r>
    </w:p>
    <w:p>
      <w:pPr>
        <w:pStyle w:val="Heading3"/>
        <w:spacing w:after="120" w:before="240"/>
      </w:pPr>
      <w:r>
        <w:t xml:space="preserve">2.4 Transport and Message Format</w:t>
      </w:r>
    </w:p>
    <w:p>
      <w:pPr>
        <w:spacing w:after="160" w:line="276"/>
      </w:pPr>
      <w:r>
        <w:t xml:space="preserve">MCP uses JSON-RPC 2.0 as its message format. Transport can be stdio (the server is a local process launched by the host — typical for desktop use, e.g., a server that reads files from its own computer) or HTTP with Server-Sent Events (SSE) / Streamable HTTP for remote servers shared by multiple users. This second mode is the one used, for example, by Medplum in the supplementary case study below.</w:t>
      </w:r>
    </w:p>
    <w:p>
      <w:pPr>
        <w:pStyle w:val="Heading3"/>
        <w:spacing w:after="120" w:before="240"/>
      </w:pPr>
      <w:r>
        <w:t xml:space="preserve">2.5 Minimal Example of an MCP Tool (Python pseudocode)</w:t>
      </w:r>
    </w:p>
    <w:p>
      <w:pPr>
        <w:shd w:fill="F5F5F5" w:val="clear"/>
        <w:spacing w:after="200"/>
      </w:pPr>
      <w:r>
        <w:rPr>
          <w:rFonts w:ascii="Consolas" w:cs="Consolas" w:eastAsia="Consolas" w:hAnsi="Consolas"/>
          <w:sz w:val="18"/>
          <w:szCs w:val="18"/>
        </w:rPr>
        <w:t xml:space="preserve">from mcp.server import Server
import mcp.types as types
server = Server("product-catalog")
@server.list_tools()
async def list_tools():
    return [
        types.Tool(
            name="query_products",
            description="Search the catalog for products by price range",
            inputSchema={
                "type": "object",
                "properties": {
                    "max_price": {"type": "number"}
                },
                "required": ["max_price"]
            }
        )
    ]
@server.call_tool()
async def call_tool(name, arguments):
    if name == "query_products":
        rows = db.query(
            "SELECT * FROM products WHERE price &lt;= ?",
            [arguments["max_price"]]
        )
        return [types.TextContent(type="text", text=str(rows))]</w:t>
      </w:r>
    </w:p>
    <w:p>
      <w:pPr>
        <w:spacing w:after="160" w:line="276"/>
      </w:pPr>
      <w:r>
        <w:t xml:space="preserve">An MCP client (built into an agent, or into Claude itself) that connects to this server automatically sees the query_products tool available, complete with description and parameter schema, with no hand-written integration required.</w:t>
      </w:r>
    </w:p>
    <w:p>
      <w:pPr>
        <w:pStyle w:val="Heading3"/>
        <w:spacing w:after="120" w:before="240"/>
      </w:pPr>
      <w:r>
        <w:t xml:space="preserve">2.6 Supplementary Material — Not Core to the Lesson</w:t>
      </w:r>
    </w:p>
    <w:tbl>
      <w:tblPr>
        <w:tblW w:type="pct" w:w="100%"/>
        <w:tblBorders>
          <w:top w:val="single" w:color="8DB4E2" w:sz="4"/>
          <w:left w:val="single" w:color="8DB4E2" w:sz="4"/>
          <w:bottom w:val="single" w:color="8DB4E2" w:sz="4"/>
          <w:right w:val="single" w:color="8DB4E2"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1F4E79"/>
              </w:rPr>
              <w:t xml:space="preserve">Extra case study: Medplum and FHIR (optional — mention only if time allows)</w:t>
            </w:r>
          </w:p>
          <w:p>
            <w:pPr>
              <w:spacing w:after="160" w:line="276"/>
            </w:pPr>
            <w:r>
              <w:t xml:space="preserve">Medplum, an open-source platform for healthcare data based on the FHIR (Fast Healthcare Interoperability Resources) standard, has implemented MCP support by exposing a single generic tool, fhir-request, which allows an LLM to invoke almost any operation of their API — reading clinical observations, creating tasks, managing appointments, submitting a reimbursement request ("Claim") — because in Medplum almost everything is already modeled as a FHIR resource.</w:t>
            </w:r>
          </w:p>
          <w:p>
            <w:pPr>
              <w:spacing w:after="160" w:line="276"/>
            </w:pPr>
            <w:r>
              <w:t xml:space="preserve">The instructive point: instead of building dozens of specific tools, they chose one broad but coherent tool, betting on the fact that LLMs already have a good "native" understanding of FHIR semantics.</w:t>
            </w:r>
          </w:p>
          <w:p>
            <w:pPr>
              <w:spacing w:after="160" w:line="276"/>
            </w:pPr>
            <w:r>
              <w:rPr>
                <w:i/>
                <w:iCs/>
              </w:rPr>
              <w:t xml:space="preserve">Liability note: Medplum explicitly states that this MCP implementation is experimental and should only be used with synthetic or de-identified data, not with real health data (PHI) — an important reminder that agentic protocols in regulated domains require extra caution. This example is referenced again in section 2.8 on data privacy below.</w:t>
            </w:r>
          </w:p>
        </w:tc>
      </w:tr>
    </w:tbl>
    <w:p>
      <w:pPr>
        <w:pStyle w:val="Heading3"/>
        <w:spacing w:after="120" w:before="240"/>
      </w:pPr>
      <w:r>
        <w:t xml:space="preserve">2.7 Best Practices: The "Context Engineering" of Tools — A Central Design Concern</w:t>
      </w:r>
    </w:p>
    <w:p>
      <w:pPr>
        <w:spacing w:after="160" w:line="276"/>
      </w:pPr>
      <w:r>
        <w:t xml:space="preserve">Anthropic's post "Effective context engineering for AI agents" introduces a point that is often overlooked, and one that deserves more classroom time than a passing mention: having more MCP tools available is not automatically an advantage. This is not a minor caveat — it is arguably as important to a working MCP deployment as the protocol's wire format.</w:t>
      </w:r>
    </w:p>
    <w:p>
      <w:pPr>
        <w:spacing w:after="160" w:line="276"/>
      </w:pPr>
      <w:r>
        <w:t xml:space="preserve">Language models operate with a limited "attention budget." Every tool definition — its name, its description, its parameter schema — occupies space in the model's context and competes for the model's attention at decision time. If two tools overlap in function, or if descriptions are ambiguous, the agent may pick the wrong tool, hesitate, or silently fail to use a tool it should have used. The practical rule cited in the post is worth writing on the board: "if a human engineer wouldn't be able to say with confidence which tool to use in a given situation, we cannot expect an AI agent to know either."</w:t>
      </w:r>
    </w:p>
    <w:p>
      <w:pPr>
        <w:spacing w:after="160" w:line="276"/>
      </w:pPr>
      <w:r>
        <w:t xml:space="preserve">This has direct, practical consequences when multiple MCP servers are connected to the same host:</w:t>
      </w:r>
    </w:p>
    <w:p>
      <w:pPr>
        <w:pStyle w:val="ListParagraph"/>
        <w:numPr>
          <w:ilvl w:val="0"/>
          <w:numId w:val="1"/>
        </w:numPr>
        <w:spacing w:after="80" w:line="276"/>
      </w:pPr>
      <w:r>
        <w:t xml:space="preserve">Tool selection and pruning become part of agent design, just as much as prompt writing. Connecting every available MCP server "because it might be useful" is a design anti-pattern, not a feature.</w:t>
      </w:r>
    </w:p>
    <w:p>
      <w:pPr>
        <w:pStyle w:val="ListParagraph"/>
        <w:numPr>
          <w:ilvl w:val="0"/>
          <w:numId w:val="1"/>
        </w:numPr>
        <w:spacing w:after="80" w:line="276"/>
      </w:pPr>
      <w:r>
        <w:t xml:space="preserve">Naming and description discipline matters: tool names and descriptions should be unambiguous, use consistent vocabulary across an organization's servers, and avoid near-duplicate functionality exposed by two different servers.</w:t>
      </w:r>
    </w:p>
    <w:p>
      <w:pPr>
        <w:pStyle w:val="ListParagraph"/>
        <w:numPr>
          <w:ilvl w:val="0"/>
          <w:numId w:val="1"/>
        </w:numPr>
        <w:spacing w:after="80" w:line="276"/>
      </w:pPr>
      <w:r>
        <w:t xml:space="preserve">Just-in-time context loading: rather than statically dumping every possible tool definition into context at the start of a session, well-designed agent architectures load or surface tools relevant to the current sub-task, reducing noise and the chance of tool misselection.</w:t>
      </w:r>
    </w:p>
    <w:p>
      <w:pPr>
        <w:pStyle w:val="ListParagraph"/>
        <w:numPr>
          <w:ilvl w:val="0"/>
          <w:numId w:val="1"/>
        </w:numPr>
        <w:spacing w:after="80" w:line="276"/>
      </w:pPr>
      <w:r>
        <w:t xml:space="preserve">Granularity trade-off: very fine-grained tools (one tool per narrow operation) can multiply the number of definitions the model must reason over, while overly broad tools (like Medplum's single fhir-request, see 2.6) push more interpretive burden onto the model at call time. Neither extreme is automatically correct — the right granularity depends on how well the model already understands the underlying domain semantics.</w:t>
      </w:r>
    </w:p>
    <w:p>
      <w:pPr>
        <w:pStyle w:val="ListParagraph"/>
        <w:numPr>
          <w:ilvl w:val="0"/>
          <w:numId w:val="1"/>
        </w:numPr>
        <w:spacing w:after="80" w:line="276"/>
      </w:pPr>
      <w:r>
        <w:t xml:space="preserve">Evaluation as part of the workflow: teams building MCP servers should test not just whether a tool works when called correctly, but whether a model reliably chooses to call it — and with correct parameters — given realistic, ambiguous user requests.</w:t>
      </w:r>
    </w:p>
    <w:p>
      <w:pPr>
        <w:spacing w:after="160" w:line="276"/>
      </w:pPr>
      <w:r>
        <w:t xml:space="preserve">The core takeaway to stress in class: standardizing access (what MCP does) and making that access usable by a model in practice (what context engineering addresses) are two different problems. A protocol can be implemented correctly and still yield a poorly performing agent if tool design and context management are neglected. We will see this same theme resurface quantitatively in the FHIR-AgentBench case study in Block 5.</w:t>
      </w:r>
    </w:p>
    <w:p>
      <w:pPr>
        <w:pStyle w:val="Heading3"/>
        <w:spacing w:after="120" w:before="240"/>
      </w:pPr>
      <w:r>
        <w:t xml:space="preserve">2.8 Data Privacy and MCP: How Organizations Can Use It Safely</w:t>
      </w:r>
    </w:p>
    <w:p>
      <w:pPr>
        <w:spacing w:after="160" w:line="276"/>
      </w:pPr>
      <w:r>
        <w:t xml:space="preserve">Because MCP sits directly between an LLM-driven agent and an organization's own systems, it is a natural point at which questions about sensitive data arise. The protocol itself does not guarantee privacy or compliance — but its architecture gives organizations several concrete levers to keep sensitive data safe, if they are used deliberately.</w:t>
      </w:r>
    </w:p>
    <w:p>
      <w:pPr>
        <w:pStyle w:val="ListParagraph"/>
        <w:numPr>
          <w:ilvl w:val="0"/>
          <w:numId w:val="1"/>
        </w:numPr>
        <w:spacing w:after="80" w:line="276"/>
      </w:pPr>
      <w:r>
        <w:t xml:space="preserve">Data stays behind the server, by design. The MCP server, not the LLM, executes the actual query against the database, EHR, or file system. This means the server can act as a mediation and authorization layer: it can enforce field-level redaction, strip identifiers, aggregate results, or refuse a request outright, before anything reaches the model. The LLM only ever sees what the server chooses to return.</w:t>
      </w:r>
    </w:p>
    <w:p>
      <w:pPr>
        <w:pStyle w:val="ListParagraph"/>
        <w:numPr>
          <w:ilvl w:val="0"/>
          <w:numId w:val="1"/>
        </w:numPr>
        <w:spacing w:after="80" w:line="276"/>
      </w:pPr>
      <w:r>
        <w:t xml:space="preserve">Local (stdio) transport keeps data on-premises. For workloads where data must never leave a machine or a private network, MCP's stdio transport runs the server as a local process with no network exposure at all — useful for sensitive files, local codebases, or air-gapped environments.</w:t>
      </w:r>
    </w:p>
    <w:p>
      <w:pPr>
        <w:pStyle w:val="ListParagraph"/>
        <w:numPr>
          <w:ilvl w:val="0"/>
          <w:numId w:val="1"/>
        </w:numPr>
        <w:spacing w:after="80" w:line="276"/>
      </w:pPr>
      <w:r>
        <w:t xml:space="preserve">Least-privilege tool design. As discussed in 2.7, a well-designed MCP server exposes narrow, purpose-built tools rather than raw database access. A tool such as get_patient_summary(id) can be scoped, audited, and rate-limited far more precisely than a generic query_database(sql) tool would allow — the principle of least privilege applies to agents exactly as it does to human users and service accounts.</w:t>
      </w:r>
    </w:p>
    <w:p>
      <w:pPr>
        <w:pStyle w:val="ListParagraph"/>
        <w:numPr>
          <w:ilvl w:val="0"/>
          <w:numId w:val="1"/>
        </w:numPr>
        <w:spacing w:after="80" w:line="276"/>
      </w:pPr>
      <w:r>
        <w:t xml:space="preserve">Authentication and per-user authorization context. Production MCP deployments typically pass through the identity and permission scope of the requesting user (via OAuth or an equivalent mechanism) so that the server enforces the same access-control rules the organization already applies elsewhere — the agent cannot see more than the human user it is acting on behalf of could see.</w:t>
      </w:r>
    </w:p>
    <w:p>
      <w:pPr>
        <w:pStyle w:val="ListParagraph"/>
        <w:numPr>
          <w:ilvl w:val="0"/>
          <w:numId w:val="1"/>
        </w:numPr>
        <w:spacing w:after="80" w:line="276"/>
      </w:pPr>
      <w:r>
        <w:t xml:space="preserve">Self-hosting and network boundaries. Because an MCP server can be deployed entirely within an organization's own infrastructure, sensitive data need not be transmitted to a third-party LLM provider at all if the deployment is designed so that only minimal, already-redacted excerpts are ever returned to the model — the raw dataset itself never has to leave the organization's perimeter.</w:t>
      </w:r>
    </w:p>
    <w:p>
      <w:pPr>
        <w:pStyle w:val="ListParagraph"/>
        <w:numPr>
          <w:ilvl w:val="0"/>
          <w:numId w:val="1"/>
        </w:numPr>
        <w:spacing w:after="80" w:line="276"/>
      </w:pPr>
      <w:r>
        <w:t xml:space="preserve">Auditability at the tool-call level. Because every tool invocation is a discrete, logged JSON-RPC call with explicit parameters, MCP naturally supports fine-grained audit trails of exactly what data an agent requested and received — a significant advantage over ad-hoc scripting integrations with no consistent logging surface.</w:t>
      </w:r>
    </w:p>
    <w:p>
      <w:pPr>
        <w:spacing w:after="160" w:line="276"/>
      </w:pPr>
      <w:r>
        <w:t xml:space="preserve">The important caveat to stress in class — and one directly illustrated by the Medplum case study in 2.6 — is that none of this is automatic. MCP gives organizations the architectural building blocks for safe handling of sensitive data (mediation, scoping, local transport, auditability), but an experimental or carelessly configured server can just as easily expose too much. Medplum's own explicit warning not to use its MCP integration with real patient data (PHI) is a useful, concrete example that implementing a protocol is not the same as achieving regulatory compliance (e.g., under HIPAA or GDPR) — compliance requires deliberate configuration of exactly the levers listed above, plus the usual organizational controls (contracts, encryption at rest and in transit, retention policies) that apply regardless of which protocol is used.</w:t>
      </w:r>
    </w:p>
    <w:p>
      <w:r>
        <w:br w:type="page"/>
      </w:r>
    </w:p>
    <w:p>
      <w:pPr>
        <w:pStyle w:val="Heading1"/>
        <w:spacing w:after="200" w:before="400"/>
      </w:pPr>
      <w:r>
        <w:t xml:space="preserve">BLOCK 3 — AGENT2AGENT PROTOCOL, A2A (25 minutes)</w:t>
      </w:r>
    </w:p>
    <w:p>
      <w:pPr>
        <w:pStyle w:val="Heading2"/>
        <w:spacing w:after="150" w:before="300"/>
      </w:pPr>
      <w:r>
        <w:t xml:space="preserve">3. Agent2Agent Protocol (A2A)</w:t>
      </w:r>
    </w:p>
    <w:p>
      <w:pPr>
        <w:spacing w:after="160" w:line="276"/>
      </w:pPr>
      <w:r>
        <w:rPr>
          <w:i/>
          <w:iCs/>
          <w:color w:val="777777"/>
        </w:rPr>
        <w:t xml:space="preserve">Suggested timing: 0:40 – 1:05</w:t>
      </w:r>
    </w:p>
    <w:p>
      <w:pPr>
        <w:pStyle w:val="Heading3"/>
        <w:spacing w:after="120" w:before="240"/>
      </w:pPr>
      <w:r>
        <w:t xml:space="preserve">3.1 Definition and Guiding Principle</w:t>
      </w:r>
    </w:p>
    <w:p>
      <w:pPr>
        <w:spacing w:after="160" w:line="276"/>
      </w:pPr>
      <w:r>
        <w:t xml:space="preserve">A2A is an open protocol, originated at Google and now under the governance of the Linux Foundation (with the involvement of, among others, AWS, Microsoft, Salesforce, SAP, Cisco, and ServiceNow), designed to let agents built with different frameworks and by different vendors discover one another, negotiate a task, and exchange results. The central architectural principle is that of the agent as an "opaque black box": an agent A that delegates a task to an agent B does not have — and should not have — visibility into B's internal memory, tools, or reasoning. It only sees the standardized interface: what B declares it can do, and how to send it requests and receive results.</w:t>
      </w:r>
    </w:p>
    <w:p>
      <w:pPr>
        <w:pStyle w:val="Heading3"/>
        <w:spacing w:after="120" w:before="240"/>
      </w:pPr>
      <w:r>
        <w:t xml:space="preserve">3.2 Actors in the Protocol</w:t>
      </w:r>
    </w:p>
    <w:p>
      <w:pPr>
        <w:pStyle w:val="ListParagraph"/>
        <w:numPr>
          <w:ilvl w:val="0"/>
          <w:numId w:val="1"/>
        </w:numPr>
        <w:spacing w:after="80" w:line="276"/>
      </w:pPr>
      <w:r>
        <w:t xml:space="preserve">User — the entity (human or software) that has a goal to achieve.</w:t>
      </w:r>
    </w:p>
    <w:p>
      <w:pPr>
        <w:pStyle w:val="ListParagraph"/>
        <w:numPr>
          <w:ilvl w:val="0"/>
          <w:numId w:val="1"/>
        </w:numPr>
        <w:spacing w:after="80" w:line="276"/>
      </w:pPr>
      <w:r>
        <w:t xml:space="preserve">A2A Client (or "Client Agent") — the agent that, on behalf of the user, identifies a suitable remote agent and delegates a task to it.</w:t>
      </w:r>
    </w:p>
    <w:p>
      <w:pPr>
        <w:pStyle w:val="ListParagraph"/>
        <w:numPr>
          <w:ilvl w:val="0"/>
          <w:numId w:val="1"/>
        </w:numPr>
        <w:spacing w:after="80" w:line="276"/>
      </w:pPr>
      <w:r>
        <w:t xml:space="preserve">A2A Server (or "Remote Agent") — the agent that receives and executes the task, returning a result.</w:t>
      </w:r>
    </w:p>
    <w:p>
      <w:pPr>
        <w:pStyle w:val="Heading3"/>
        <w:spacing w:after="120" w:before="240"/>
      </w:pPr>
      <w:r>
        <w:t xml:space="preserve">3.3 Agent Card: The Digital "Business Card"</w:t>
      </w:r>
    </w:p>
    <w:p>
      <w:pPr>
        <w:spacing w:after="160" w:line="276"/>
      </w:pPr>
      <w:r>
        <w:t xml:space="preserve">Probably the single most important element to explain in class is the Agent Card: a public JSON document that describes an agent — its identity, the capabilities/skills it offers, the endpoint to contact it at, and the authentication methods it supports. It is typically published at a well-known URI and enables discovery: an A2A client can read the Agent Card of a candidate agent and decide, either automatically or with the help of an LLM, whether it is suited to the task being delegated.</w:t>
      </w:r>
    </w:p>
    <w:p>
      <w:pPr>
        <w:shd w:fill="F5F5F5" w:val="clear"/>
        <w:spacing w:after="200"/>
      </w:pPr>
      <w:r>
        <w:rPr>
          <w:rFonts w:ascii="Consolas" w:cs="Consolas" w:eastAsia="Consolas" w:hAnsi="Consolas"/>
          <w:sz w:val="18"/>
          <w:szCs w:val="18"/>
        </w:rPr>
        <w:t xml:space="preserve">{
  "name": "Catalog Agent",
  "description": "Answers questions about the company product catalog",
  "url": "https://agents.example.com/catalog",
  "version": "1.0.0",
  "capabilities": {"streaming": true},
  "skills": [
    {
      "id": "search-products",
      "name": "Product search",
      "description": "Finds products, filtering by price and category",
      "examples": ["find me products under 20 euros"]
    }
  ]
}</w:t>
      </w:r>
    </w:p>
    <w:p>
      <w:pPr>
        <w:pStyle w:val="Heading3"/>
        <w:spacing w:after="120" w:before="240"/>
      </w:pPr>
      <w:r>
        <w:t xml:space="preserve">3.4 Task: The Delegated Unit of Work</w:t>
      </w:r>
    </w:p>
    <w:p>
      <w:pPr>
        <w:spacing w:after="160" w:line="276"/>
      </w:pPr>
      <w:r>
        <w:t xml:space="preserve">Every work request between two A2A agents is encapsulated in a Task, uniquely identified, with an explicit lifecycle (typically: submitted → working → input-required → completed / failed / canceled). This matters because, unlike a single function call, a task can take minutes or hours, may need additional input during execution, and may produce partial results (streaming) before completion.</w:t>
      </w:r>
    </w:p>
    <w:p>
      <w:pPr>
        <w:pStyle w:val="Heading3"/>
        <w:spacing w:after="120" w:before="240"/>
      </w:pPr>
      <w:r>
        <w:t xml:space="preserve">3.5 Message, Part, and Artifact</w:t>
      </w:r>
    </w:p>
    <w:p>
      <w:pPr>
        <w:pStyle w:val="ListParagraph"/>
        <w:numPr>
          <w:ilvl w:val="0"/>
          <w:numId w:val="1"/>
        </w:numPr>
        <w:spacing w:after="80" w:line="276"/>
      </w:pPr>
      <w:r>
        <w:t xml:space="preserve">Message — a single turn of communication between client and server (initial request, status update, clarification request...).</w:t>
      </w:r>
    </w:p>
    <w:p>
      <w:pPr>
        <w:pStyle w:val="ListParagraph"/>
        <w:numPr>
          <w:ilvl w:val="0"/>
          <w:numId w:val="1"/>
        </w:numPr>
        <w:spacing w:after="80" w:line="276"/>
      </w:pPr>
      <w:r>
        <w:t xml:space="preserve">Part — the "building block" of content inside a message: text, a file, a structured data block (JSON). A message can contain several parts of different types.</w:t>
      </w:r>
    </w:p>
    <w:p>
      <w:pPr>
        <w:pStyle w:val="ListParagraph"/>
        <w:numPr>
          <w:ilvl w:val="0"/>
          <w:numId w:val="1"/>
        </w:numPr>
        <w:spacing w:after="80" w:line="276"/>
      </w:pPr>
      <w:r>
        <w:t xml:space="preserve">Artifact — the result produced by the remote agent at the end (or during) task execution — typically what the user/client was waiting for.</w:t>
      </w:r>
    </w:p>
    <w:p>
      <w:pPr>
        <w:pStyle w:val="Heading3"/>
        <w:spacing w:after="120" w:before="240"/>
      </w:pPr>
      <w:r>
        <w:t xml:space="preserve">3.6 Transport — How A2A Actually Moves Data, and Why</w:t>
      </w:r>
    </w:p>
    <w:p>
      <w:pPr>
        <w:spacing w:after="160" w:line="276"/>
      </w:pPr>
      <w:r>
        <w:t xml:space="preserve">A2A is built on HTTP(S) with JSON-RPC 2.0 as its message envelope, but the interesting design decisions are in how it handles the fact that agent tasks can be long-running, in a way a single request/response call cannot easily support. It is worth walking through the three transport mechanisms separately, since each solves a different problem:</w:t>
      </w:r>
    </w:p>
    <w:p>
      <w:pPr>
        <w:pStyle w:val="ListParagraph"/>
        <w:numPr>
          <w:ilvl w:val="0"/>
          <w:numId w:val="1"/>
        </w:numPr>
        <w:spacing w:after="80" w:line="276"/>
      </w:pPr>
      <w:r>
        <w:t xml:space="preserve">JSON-RPC 2.0 over HTTP(S) for the base request/response exchange. This is the mechanism used for straightforward calls such as message/send: the client sends a JSON-RPC request, the server replies with a JSON-RPC response. Choosing JSON-RPC (rather than a bespoke format) means A2A reuses a lightweight, widely-implemented convention for method calls, error codes, and request/response correlation that most backend engineers already know.</w:t>
      </w:r>
    </w:p>
    <w:p>
      <w:pPr>
        <w:pStyle w:val="ListParagraph"/>
        <w:numPr>
          <w:ilvl w:val="0"/>
          <w:numId w:val="1"/>
        </w:numPr>
        <w:spacing w:after="80" w:line="276"/>
      </w:pPr>
      <w:r>
        <w:t xml:space="preserve">Server-Sent Events (SSE) for streaming. Many agent tasks are not instantaneous: a remote agent might be reasoning, calling its own tools, or waiting on a long-running process. Rather than forcing the client to repeatedly poll "is it done yet?", the server can keep a single HTTP connection open and push incremental status/result updates to the client as they happen (working → partial artifact → working → completed). This is the same mechanism used for streaming tokens from an LLM API, applied here to streaming task progress.</w:t>
      </w:r>
    </w:p>
    <w:p>
      <w:pPr>
        <w:pStyle w:val="ListParagraph"/>
        <w:numPr>
          <w:ilvl w:val="0"/>
          <w:numId w:val="1"/>
        </w:numPr>
        <w:spacing w:after="80" w:line="276"/>
      </w:pPr>
      <w:r>
        <w:t xml:space="preserve">Push notifications for long-running, asynchronous tasks. Some tasks genuinely take minutes or hours — long enough that holding an open SSE connection the entire time is impractical or expensive. For these, A2A supports a webhook-style push notification: the client registers a callback URL when it submits the task, and the server calls that URL when the task changes state (typically on completion), rather than requiring either side to maintain a persistent connection. This mirrors a pattern already familiar from everyday SaaS integrations (e.g., payment webhooks, CI/CD build notifications), applied here to inter-agent task completion.</w:t>
      </w:r>
    </w:p>
    <w:p>
      <w:pPr>
        <w:spacing w:after="160" w:line="276"/>
      </w:pPr>
      <w:r>
        <w:t xml:space="preserve">The practical distinction to give students: choose plain request/response for quick calls, SSE when the client is actively present and wants live progress, and push notifications when the task is long enough, or the client disconnected enough, that neither side should have to keep a connection alive. All three sit on top of the same HTTP(S) foundation discussed in section 1.1.1 — A2A does not need a different network stack for each mode, only a different usage pattern of the same transport.</w:t>
      </w:r>
    </w:p>
    <w:p>
      <w:pPr>
        <w:pStyle w:val="Heading3"/>
        <w:spacing w:after="120" w:before="240"/>
      </w:pPr>
      <w:r>
        <w:t xml:space="preserve">3.7 A Possible Step-by-Step A2A Exchange</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1500"/>
        <w:gridCol w:w="2500"/>
        <w:gridCol w:w="5350"/>
      </w:tblGrid>
      <w:tr>
        <w:trPr>
          <w:tblHeader/>
        </w:trPr>
        <w:tc>
          <w:tcPr>
            <w:tcW w:type="dxa" w:w="1500"/>
            <w:shd w:fill="1F4E79" w:val="clear"/>
            <w:tcMar>
              <w:top w:type="dxa" w:w="100"/>
              <w:left w:type="dxa" w:w="120"/>
              <w:bottom w:type="dxa" w:w="100"/>
              <w:right w:type="dxa" w:w="120"/>
            </w:tcMar>
          </w:tcPr>
          <w:p>
            <w:r>
              <w:rPr>
                <w:b/>
                <w:bCs/>
                <w:color w:val="FFFFFF"/>
              </w:rPr>
              <w:t xml:space="preserve">Step</w:t>
            </w:r>
          </w:p>
        </w:tc>
        <w:tc>
          <w:tcPr>
            <w:tcW w:type="dxa" w:w="2500"/>
            <w:shd w:fill="1F4E79" w:val="clear"/>
            <w:tcMar>
              <w:top w:type="dxa" w:w="100"/>
              <w:left w:type="dxa" w:w="120"/>
              <w:bottom w:type="dxa" w:w="100"/>
              <w:right w:type="dxa" w:w="120"/>
            </w:tcMar>
          </w:tcPr>
          <w:p>
            <w:r>
              <w:rPr>
                <w:b/>
                <w:bCs/>
                <w:color w:val="FFFFFF"/>
              </w:rPr>
              <w:t xml:space="preserve">Who Acts</w:t>
            </w:r>
          </w:p>
        </w:tc>
        <w:tc>
          <w:tcPr>
            <w:tcW w:type="dxa" w:w="5350"/>
            <w:shd w:fill="1F4E79" w:val="clear"/>
            <w:tcMar>
              <w:top w:type="dxa" w:w="100"/>
              <w:left w:type="dxa" w:w="120"/>
              <w:bottom w:type="dxa" w:w="100"/>
              <w:right w:type="dxa" w:w="120"/>
            </w:tcMar>
          </w:tcPr>
          <w:p>
            <w:r>
              <w:rPr>
                <w:b/>
                <w:bCs/>
                <w:color w:val="FFFFFF"/>
              </w:rPr>
              <w:t xml:space="preserve">What Happens</w:t>
            </w:r>
          </w:p>
        </w:tc>
      </w:tr>
      <w:tr>
        <w:tc>
          <w:tcPr>
            <w:tcW w:type="dxa" w:w="1500"/>
            <w:shd w:fill="FFFFFF" w:val="clear"/>
            <w:tcMar>
              <w:top w:type="dxa" w:w="100"/>
              <w:left w:type="dxa" w:w="120"/>
              <w:bottom w:type="dxa" w:w="100"/>
              <w:right w:type="dxa" w:w="120"/>
            </w:tcMar>
          </w:tcPr>
          <w:p>
            <w:r>
              <w:t xml:space="preserve">1. Discovery</w:t>
            </w:r>
          </w:p>
        </w:tc>
        <w:tc>
          <w:tcPr>
            <w:tcW w:type="dxa" w:w="2500"/>
            <w:shd w:fill="FFFFFF" w:val="clear"/>
            <w:tcMar>
              <w:top w:type="dxa" w:w="100"/>
              <w:left w:type="dxa" w:w="120"/>
              <w:bottom w:type="dxa" w:w="100"/>
              <w:right w:type="dxa" w:w="120"/>
            </w:tcMar>
          </w:tcPr>
          <w:p>
            <w:r>
              <w:t xml:space="preserve">Client</w:t>
            </w:r>
          </w:p>
        </w:tc>
        <w:tc>
          <w:tcPr>
            <w:tcW w:type="dxa" w:w="5350"/>
            <w:shd w:fill="FFFFFF" w:val="clear"/>
            <w:tcMar>
              <w:top w:type="dxa" w:w="100"/>
              <w:left w:type="dxa" w:w="120"/>
              <w:bottom w:type="dxa" w:w="100"/>
              <w:right w:type="dxa" w:w="120"/>
            </w:tcMar>
          </w:tcPr>
          <w:p>
            <w:r>
              <w:t xml:space="preserve">Reads the Agent Card of the candidate server</w:t>
            </w:r>
          </w:p>
        </w:tc>
      </w:tr>
      <w:tr>
        <w:tc>
          <w:tcPr>
            <w:tcW w:type="dxa" w:w="1500"/>
            <w:shd w:fill="F2F2F2" w:val="clear"/>
            <w:tcMar>
              <w:top w:type="dxa" w:w="100"/>
              <w:left w:type="dxa" w:w="120"/>
              <w:bottom w:type="dxa" w:w="100"/>
              <w:right w:type="dxa" w:w="120"/>
            </w:tcMar>
          </w:tcPr>
          <w:p>
            <w:r>
              <w:t xml:space="preserve">2. Task submission</w:t>
            </w:r>
          </w:p>
        </w:tc>
        <w:tc>
          <w:tcPr>
            <w:tcW w:type="dxa" w:w="2500"/>
            <w:shd w:fill="F2F2F2" w:val="clear"/>
            <w:tcMar>
              <w:top w:type="dxa" w:w="100"/>
              <w:left w:type="dxa" w:w="120"/>
              <w:bottom w:type="dxa" w:w="100"/>
              <w:right w:type="dxa" w:w="120"/>
            </w:tcMar>
          </w:tcPr>
          <w:p>
            <w:r>
              <w:t xml:space="preserve">Client → Server</w:t>
            </w:r>
          </w:p>
        </w:tc>
        <w:tc>
          <w:tcPr>
            <w:tcW w:type="dxa" w:w="5350"/>
            <w:shd w:fill="F2F2F2" w:val="clear"/>
            <w:tcMar>
              <w:top w:type="dxa" w:w="100"/>
              <w:left w:type="dxa" w:w="120"/>
              <w:bottom w:type="dxa" w:w="100"/>
              <w:right w:type="dxa" w:w="120"/>
            </w:tcMar>
          </w:tcPr>
          <w:p>
            <w:r>
              <w:t xml:space="preserve">Sends the initial message ("message/send")</w:t>
            </w:r>
          </w:p>
        </w:tc>
      </w:tr>
      <w:tr>
        <w:tc>
          <w:tcPr>
            <w:tcW w:type="dxa" w:w="1500"/>
            <w:shd w:fill="FFFFFF" w:val="clear"/>
            <w:tcMar>
              <w:top w:type="dxa" w:w="100"/>
              <w:left w:type="dxa" w:w="120"/>
              <w:bottom w:type="dxa" w:w="100"/>
              <w:right w:type="dxa" w:w="120"/>
            </w:tcMar>
          </w:tcPr>
          <w:p>
            <w:r>
              <w:t xml:space="preserve">3. Execution</w:t>
            </w:r>
          </w:p>
        </w:tc>
        <w:tc>
          <w:tcPr>
            <w:tcW w:type="dxa" w:w="2500"/>
            <w:shd w:fill="FFFFFF" w:val="clear"/>
            <w:tcMar>
              <w:top w:type="dxa" w:w="100"/>
              <w:left w:type="dxa" w:w="120"/>
              <w:bottom w:type="dxa" w:w="100"/>
              <w:right w:type="dxa" w:w="120"/>
            </w:tcMar>
          </w:tcPr>
          <w:p>
            <w:r>
              <w:t xml:space="preserve">Server</w:t>
            </w:r>
          </w:p>
        </w:tc>
        <w:tc>
          <w:tcPr>
            <w:tcW w:type="dxa" w:w="5350"/>
            <w:shd w:fill="FFFFFF" w:val="clear"/>
            <w:tcMar>
              <w:top w:type="dxa" w:w="100"/>
              <w:left w:type="dxa" w:w="120"/>
              <w:bottom w:type="dxa" w:w="100"/>
              <w:right w:type="dxa" w:w="120"/>
            </w:tcMar>
          </w:tcPr>
          <w:p>
            <w:r>
              <w:t xml:space="preserve">The server works, potentially streaming (SSE)</w:t>
            </w:r>
          </w:p>
        </w:tc>
      </w:tr>
      <w:tr>
        <w:tc>
          <w:tcPr>
            <w:tcW w:type="dxa" w:w="1500"/>
            <w:shd w:fill="F2F2F2" w:val="clear"/>
            <w:tcMar>
              <w:top w:type="dxa" w:w="100"/>
              <w:left w:type="dxa" w:w="120"/>
              <w:bottom w:type="dxa" w:w="100"/>
              <w:right w:type="dxa" w:w="120"/>
            </w:tcMar>
          </w:tcPr>
          <w:p>
            <w:r>
              <w:t xml:space="preserve">4. Updates</w:t>
            </w:r>
          </w:p>
        </w:tc>
        <w:tc>
          <w:tcPr>
            <w:tcW w:type="dxa" w:w="2500"/>
            <w:shd w:fill="F2F2F2" w:val="clear"/>
            <w:tcMar>
              <w:top w:type="dxa" w:w="100"/>
              <w:left w:type="dxa" w:w="120"/>
              <w:bottom w:type="dxa" w:w="100"/>
              <w:right w:type="dxa" w:w="120"/>
            </w:tcMar>
          </w:tcPr>
          <w:p>
            <w:r>
              <w:t xml:space="preserve">Server → Client</w:t>
            </w:r>
          </w:p>
        </w:tc>
        <w:tc>
          <w:tcPr>
            <w:tcW w:type="dxa" w:w="5350"/>
            <w:shd w:fill="F2F2F2" w:val="clear"/>
            <w:tcMar>
              <w:top w:type="dxa" w:w="100"/>
              <w:left w:type="dxa" w:w="120"/>
              <w:bottom w:type="dxa" w:w="100"/>
              <w:right w:type="dxa" w:w="120"/>
            </w:tcMar>
          </w:tcPr>
          <w:p>
            <w:r>
              <w:t xml:space="preserve">Task status: working / input-required</w:t>
            </w:r>
          </w:p>
        </w:tc>
      </w:tr>
      <w:tr>
        <w:tc>
          <w:tcPr>
            <w:tcW w:type="dxa" w:w="1500"/>
            <w:shd w:fill="FFFFFF" w:val="clear"/>
            <w:tcMar>
              <w:top w:type="dxa" w:w="100"/>
              <w:left w:type="dxa" w:w="120"/>
              <w:bottom w:type="dxa" w:w="100"/>
              <w:right w:type="dxa" w:w="120"/>
            </w:tcMar>
          </w:tcPr>
          <w:p>
            <w:r>
              <w:t xml:space="preserve">5. Result</w:t>
            </w:r>
          </w:p>
        </w:tc>
        <w:tc>
          <w:tcPr>
            <w:tcW w:type="dxa" w:w="2500"/>
            <w:shd w:fill="FFFFFF" w:val="clear"/>
            <w:tcMar>
              <w:top w:type="dxa" w:w="100"/>
              <w:left w:type="dxa" w:w="120"/>
              <w:bottom w:type="dxa" w:w="100"/>
              <w:right w:type="dxa" w:w="120"/>
            </w:tcMar>
          </w:tcPr>
          <w:p>
            <w:r>
              <w:t xml:space="preserve">Server → Client</w:t>
            </w:r>
          </w:p>
        </w:tc>
        <w:tc>
          <w:tcPr>
            <w:tcW w:type="dxa" w:w="5350"/>
            <w:shd w:fill="FFFFFF" w:val="clear"/>
            <w:tcMar>
              <w:top w:type="dxa" w:w="100"/>
              <w:left w:type="dxa" w:w="120"/>
              <w:bottom w:type="dxa" w:w="100"/>
              <w:right w:type="dxa" w:w="120"/>
            </w:tcMar>
          </w:tcPr>
          <w:p>
            <w:r>
              <w:t xml:space="preserve">Task completed, Artifact returned</w:t>
            </w:r>
          </w:p>
        </w:tc>
      </w:tr>
    </w:tbl>
    <w:p>
      <w:r>
        <w:br w:type="page"/>
      </w:r>
    </w:p>
    <w:p>
      <w:pPr>
        <w:pStyle w:val="Heading1"/>
        <w:spacing w:after="200" w:before="400"/>
      </w:pPr>
      <w:r>
        <w:t xml:space="preserve">BLOCK 4 — COMPARISON AND SYNERGY (15 minutes)</w:t>
      </w:r>
    </w:p>
    <w:p>
      <w:pPr>
        <w:pStyle w:val="Heading2"/>
        <w:spacing w:after="150" w:before="300"/>
      </w:pPr>
      <w:r>
        <w:t xml:space="preserve">4. MCP and A2A Compared</w:t>
      </w:r>
    </w:p>
    <w:p>
      <w:pPr>
        <w:spacing w:after="160" w:line="276"/>
      </w:pPr>
      <w:r>
        <w:rPr>
          <w:i/>
          <w:iCs/>
          <w:color w:val="777777"/>
        </w:rPr>
        <w:t xml:space="preserve">Suggested timing: 1:05 – 1:20</w:t>
      </w:r>
    </w:p>
    <w:p>
      <w:pPr>
        <w:spacing w:after="160" w:line="276"/>
      </w:pPr>
      <w:r>
        <w:t xml:space="preserve">The two protocols are not alternatives: they operate at different levels of the stack and are explicitly designed to be complementary. The table below summarizes the comparison points worth projecting or revisiting in class.</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500"/>
        <w:gridCol w:w="3650"/>
      </w:tblGrid>
      <w:tr>
        <w:trPr>
          <w:tblHeader/>
        </w:trPr>
        <w:tc>
          <w:tcPr>
            <w:tcW w:type="dxa" w:w="2200"/>
            <w:shd w:fill="1F4E79" w:val="clear"/>
            <w:tcMar>
              <w:top w:type="dxa" w:w="100"/>
              <w:left w:type="dxa" w:w="120"/>
              <w:bottom w:type="dxa" w:w="100"/>
              <w:right w:type="dxa" w:w="120"/>
            </w:tcMar>
          </w:tcPr>
          <w:p>
            <w:r>
              <w:rPr>
                <w:b/>
                <w:bCs/>
                <w:color w:val="FFFFFF"/>
              </w:rPr>
              <w:t xml:space="preserve">Aspect</w:t>
            </w:r>
          </w:p>
        </w:tc>
        <w:tc>
          <w:tcPr>
            <w:tcW w:type="dxa" w:w="3500"/>
            <w:shd w:fill="1F4E79" w:val="clear"/>
            <w:tcMar>
              <w:top w:type="dxa" w:w="100"/>
              <w:left w:type="dxa" w:w="120"/>
              <w:bottom w:type="dxa" w:w="100"/>
              <w:right w:type="dxa" w:w="120"/>
            </w:tcMar>
          </w:tcPr>
          <w:p>
            <w:r>
              <w:rPr>
                <w:b/>
                <w:bCs/>
                <w:color w:val="FFFFFF"/>
              </w:rPr>
              <w:t xml:space="preserve">MCP</w:t>
            </w:r>
          </w:p>
        </w:tc>
        <w:tc>
          <w:tcPr>
            <w:tcW w:type="dxa" w:w="3650"/>
            <w:shd w:fill="1F4E79" w:val="clear"/>
            <w:tcMar>
              <w:top w:type="dxa" w:w="100"/>
              <w:left w:type="dxa" w:w="120"/>
              <w:bottom w:type="dxa" w:w="100"/>
              <w:right w:type="dxa" w:w="120"/>
            </w:tcMar>
          </w:tcPr>
          <w:p>
            <w:r>
              <w:rPr>
                <w:b/>
                <w:bCs/>
                <w:color w:val="FFFFFF"/>
              </w:rPr>
              <w:t xml:space="preserve">A2A</w:t>
            </w:r>
          </w:p>
        </w:tc>
      </w:tr>
      <w:tr>
        <w:tc>
          <w:tcPr>
            <w:tcW w:type="dxa" w:w="2200"/>
            <w:shd w:fill="FFFFFF" w:val="clear"/>
            <w:tcMar>
              <w:top w:type="dxa" w:w="100"/>
              <w:left w:type="dxa" w:w="120"/>
              <w:bottom w:type="dxa" w:w="100"/>
              <w:right w:type="dxa" w:w="120"/>
            </w:tcMar>
          </w:tcPr>
          <w:p>
            <w:r>
              <w:t xml:space="preserve">What it connects</w:t>
            </w:r>
          </w:p>
        </w:tc>
        <w:tc>
          <w:tcPr>
            <w:tcW w:type="dxa" w:w="3500"/>
            <w:shd w:fill="FFFFFF" w:val="clear"/>
            <w:tcMar>
              <w:top w:type="dxa" w:w="100"/>
              <w:left w:type="dxa" w:w="120"/>
              <w:bottom w:type="dxa" w:w="100"/>
              <w:right w:type="dxa" w:w="120"/>
            </w:tcMar>
          </w:tcPr>
          <w:p>
            <w:r>
              <w:t xml:space="preserve">An agent to its tools / data</w:t>
            </w:r>
          </w:p>
        </w:tc>
        <w:tc>
          <w:tcPr>
            <w:tcW w:type="dxa" w:w="3650"/>
            <w:shd w:fill="FFFFFF" w:val="clear"/>
            <w:tcMar>
              <w:top w:type="dxa" w:w="100"/>
              <w:left w:type="dxa" w:w="120"/>
              <w:bottom w:type="dxa" w:w="100"/>
              <w:right w:type="dxa" w:w="120"/>
            </w:tcMar>
          </w:tcPr>
          <w:p>
            <w:r>
              <w:t xml:space="preserve">An agent to another agent</w:t>
            </w:r>
          </w:p>
        </w:tc>
      </w:tr>
      <w:tr>
        <w:tc>
          <w:tcPr>
            <w:tcW w:type="dxa" w:w="2200"/>
            <w:shd w:fill="F2F2F2" w:val="clear"/>
            <w:tcMar>
              <w:top w:type="dxa" w:w="100"/>
              <w:left w:type="dxa" w:w="120"/>
              <w:bottom w:type="dxa" w:w="100"/>
              <w:right w:type="dxa" w:w="120"/>
            </w:tcMar>
          </w:tcPr>
          <w:p>
            <w:r>
              <w:t xml:space="preserve">Direction</w:t>
            </w:r>
          </w:p>
        </w:tc>
        <w:tc>
          <w:tcPr>
            <w:tcW w:type="dxa" w:w="3500"/>
            <w:shd w:fill="F2F2F2" w:val="clear"/>
            <w:tcMar>
              <w:top w:type="dxa" w:w="100"/>
              <w:left w:type="dxa" w:w="120"/>
              <w:bottom w:type="dxa" w:w="100"/>
              <w:right w:type="dxa" w:w="120"/>
            </w:tcMar>
          </w:tcPr>
          <w:p>
            <w:r>
              <w:t xml:space="preserve">"Vertical" (inside the agent)</w:t>
            </w:r>
          </w:p>
        </w:tc>
        <w:tc>
          <w:tcPr>
            <w:tcW w:type="dxa" w:w="3650"/>
            <w:shd w:fill="F2F2F2" w:val="clear"/>
            <w:tcMar>
              <w:top w:type="dxa" w:w="100"/>
              <w:left w:type="dxa" w:w="120"/>
              <w:bottom w:type="dxa" w:w="100"/>
              <w:right w:type="dxa" w:w="120"/>
            </w:tcMar>
          </w:tcPr>
          <w:p>
            <w:r>
              <w:t xml:space="preserve">"Horizontal" (between agents)</w:t>
            </w:r>
          </w:p>
        </w:tc>
      </w:tr>
      <w:tr>
        <w:tc>
          <w:tcPr>
            <w:tcW w:type="dxa" w:w="2200"/>
            <w:shd w:fill="FFFFFF" w:val="clear"/>
            <w:tcMar>
              <w:top w:type="dxa" w:w="100"/>
              <w:left w:type="dxa" w:w="120"/>
              <w:bottom w:type="dxa" w:w="100"/>
              <w:right w:type="dxa" w:w="120"/>
            </w:tcMar>
          </w:tcPr>
          <w:p>
            <w:r>
              <w:t xml:space="preserve">Analogy</w:t>
            </w:r>
          </w:p>
        </w:tc>
        <w:tc>
          <w:tcPr>
            <w:tcW w:type="dxa" w:w="3500"/>
            <w:shd w:fill="FFFFFF" w:val="clear"/>
            <w:tcMar>
              <w:top w:type="dxa" w:w="100"/>
              <w:left w:type="dxa" w:w="120"/>
              <w:bottom w:type="dxa" w:w="100"/>
              <w:right w:type="dxa" w:w="120"/>
            </w:tcMar>
          </w:tcPr>
          <w:p>
            <w:r>
              <w:t xml:space="preserve">The USB-C port for AI tools</w:t>
            </w:r>
          </w:p>
        </w:tc>
        <w:tc>
          <w:tcPr>
            <w:tcW w:type="dxa" w:w="3650"/>
            <w:shd w:fill="FFFFFF" w:val="clear"/>
            <w:tcMar>
              <w:top w:type="dxa" w:w="100"/>
              <w:left w:type="dxa" w:w="120"/>
              <w:bottom w:type="dxa" w:w="100"/>
              <w:right w:type="dxa" w:w="120"/>
            </w:tcMar>
          </w:tcPr>
          <w:p>
            <w:r>
              <w:t xml:space="preserve">The "network protocol" between artificial minds</w:t>
            </w:r>
          </w:p>
        </w:tc>
      </w:tr>
      <w:tr>
        <w:tc>
          <w:tcPr>
            <w:tcW w:type="dxa" w:w="2200"/>
            <w:shd w:fill="F2F2F2" w:val="clear"/>
            <w:tcMar>
              <w:top w:type="dxa" w:w="100"/>
              <w:left w:type="dxa" w:w="120"/>
              <w:bottom w:type="dxa" w:w="100"/>
              <w:right w:type="dxa" w:w="120"/>
            </w:tcMar>
          </w:tcPr>
          <w:p>
            <w:r>
              <w:t xml:space="preserve">Basic unit of work</w:t>
            </w:r>
          </w:p>
        </w:tc>
        <w:tc>
          <w:tcPr>
            <w:tcW w:type="dxa" w:w="3500"/>
            <w:shd w:fill="F2F2F2" w:val="clear"/>
            <w:tcMar>
              <w:top w:type="dxa" w:w="100"/>
              <w:left w:type="dxa" w:w="120"/>
              <w:bottom w:type="dxa" w:w="100"/>
              <w:right w:type="dxa" w:w="120"/>
            </w:tcMar>
          </w:tcPr>
          <w:p>
            <w:r>
              <w:t xml:space="preserve">Tool call / resource read</w:t>
            </w:r>
          </w:p>
        </w:tc>
        <w:tc>
          <w:tcPr>
            <w:tcW w:type="dxa" w:w="3650"/>
            <w:shd w:fill="F2F2F2" w:val="clear"/>
            <w:tcMar>
              <w:top w:type="dxa" w:w="100"/>
              <w:left w:type="dxa" w:w="120"/>
              <w:bottom w:type="dxa" w:w="100"/>
              <w:right w:type="dxa" w:w="120"/>
            </w:tcMar>
          </w:tcPr>
          <w:p>
            <w:r>
              <w:t xml:space="preserve">Delegated task (with lifecycle)</w:t>
            </w:r>
          </w:p>
        </w:tc>
      </w:tr>
      <w:tr>
        <w:tc>
          <w:tcPr>
            <w:tcW w:type="dxa" w:w="2200"/>
            <w:shd w:fill="FFFFFF" w:val="clear"/>
            <w:tcMar>
              <w:top w:type="dxa" w:w="100"/>
              <w:left w:type="dxa" w:w="120"/>
              <w:bottom w:type="dxa" w:w="100"/>
              <w:right w:type="dxa" w:w="120"/>
            </w:tcMar>
          </w:tcPr>
          <w:p>
            <w:r>
              <w:t xml:space="preserve">Who's on the other side</w:t>
            </w:r>
          </w:p>
        </w:tc>
        <w:tc>
          <w:tcPr>
            <w:tcW w:type="dxa" w:w="3500"/>
            <w:shd w:fill="FFFFFF" w:val="clear"/>
            <w:tcMar>
              <w:top w:type="dxa" w:w="100"/>
              <w:left w:type="dxa" w:w="120"/>
              <w:bottom w:type="dxa" w:w="100"/>
              <w:right w:type="dxa" w:w="120"/>
            </w:tcMar>
          </w:tcPr>
          <w:p>
            <w:r>
              <w:t xml:space="preserve">A server (API, DB, filesystem...)</w:t>
            </w:r>
          </w:p>
        </w:tc>
        <w:tc>
          <w:tcPr>
            <w:tcW w:type="dxa" w:w="3650"/>
            <w:shd w:fill="FFFFFF" w:val="clear"/>
            <w:tcMar>
              <w:top w:type="dxa" w:w="100"/>
              <w:left w:type="dxa" w:w="120"/>
              <w:bottom w:type="dxa" w:w="100"/>
              <w:right w:type="dxa" w:w="120"/>
            </w:tcMar>
          </w:tcPr>
          <w:p>
            <w:r>
              <w:t xml:space="preserve">Another autonomous agent (black box)</w:t>
            </w:r>
          </w:p>
        </w:tc>
      </w:tr>
      <w:tr>
        <w:tc>
          <w:tcPr>
            <w:tcW w:type="dxa" w:w="2200"/>
            <w:shd w:fill="F2F2F2" w:val="clear"/>
            <w:tcMar>
              <w:top w:type="dxa" w:w="100"/>
              <w:left w:type="dxa" w:w="120"/>
              <w:bottom w:type="dxa" w:w="100"/>
              <w:right w:type="dxa" w:w="120"/>
            </w:tcMar>
          </w:tcPr>
          <w:p>
            <w:r>
              <w:t xml:space="preserve">Origin / governance</w:t>
            </w:r>
          </w:p>
        </w:tc>
        <w:tc>
          <w:tcPr>
            <w:tcW w:type="dxa" w:w="3500"/>
            <w:shd w:fill="F2F2F2" w:val="clear"/>
            <w:tcMar>
              <w:top w:type="dxa" w:w="100"/>
              <w:left w:type="dxa" w:w="120"/>
              <w:bottom w:type="dxa" w:w="100"/>
              <w:right w:type="dxa" w:w="120"/>
            </w:tcMar>
          </w:tcPr>
          <w:p>
            <w:r>
              <w:t xml:space="preserve">Anthropic (2024), open standard</w:t>
            </w:r>
          </w:p>
        </w:tc>
        <w:tc>
          <w:tcPr>
            <w:tcW w:type="dxa" w:w="3650"/>
            <w:shd w:fill="F2F2F2" w:val="clear"/>
            <w:tcMar>
              <w:top w:type="dxa" w:w="100"/>
              <w:left w:type="dxa" w:w="120"/>
              <w:bottom w:type="dxa" w:w="100"/>
              <w:right w:type="dxa" w:w="120"/>
            </w:tcMar>
          </w:tcPr>
          <w:p>
            <w:r>
              <w:t xml:space="preserve">Google (2025), now Linux Foundation</w:t>
            </w:r>
          </w:p>
        </w:tc>
      </w:tr>
      <w:tr>
        <w:tc>
          <w:tcPr>
            <w:tcW w:type="dxa" w:w="2200"/>
            <w:shd w:fill="FFFFFF" w:val="clear"/>
            <w:tcMar>
              <w:top w:type="dxa" w:w="100"/>
              <w:left w:type="dxa" w:w="120"/>
              <w:bottom w:type="dxa" w:w="100"/>
              <w:right w:type="dxa" w:w="120"/>
            </w:tcMar>
          </w:tcPr>
          <w:p>
            <w:r>
              <w:t xml:space="preserve">Typical transport</w:t>
            </w:r>
          </w:p>
        </w:tc>
        <w:tc>
          <w:tcPr>
            <w:tcW w:type="dxa" w:w="3500"/>
            <w:shd w:fill="FFFFFF" w:val="clear"/>
            <w:tcMar>
              <w:top w:type="dxa" w:w="100"/>
              <w:left w:type="dxa" w:w="120"/>
              <w:bottom w:type="dxa" w:w="100"/>
              <w:right w:type="dxa" w:w="120"/>
            </w:tcMar>
          </w:tcPr>
          <w:p>
            <w:r>
              <w:t xml:space="preserve">stdio (local) or HTTP/SSE (remote)</w:t>
            </w:r>
          </w:p>
        </w:tc>
        <w:tc>
          <w:tcPr>
            <w:tcW w:type="dxa" w:w="3650"/>
            <w:shd w:fill="FFFFFF" w:val="clear"/>
            <w:tcMar>
              <w:top w:type="dxa" w:w="100"/>
              <w:left w:type="dxa" w:w="120"/>
              <w:bottom w:type="dxa" w:w="100"/>
              <w:right w:type="dxa" w:w="120"/>
            </w:tcMar>
          </w:tcPr>
          <w:p>
            <w:r>
              <w:t xml:space="preserve">HTTP(S) + JSON-RPC 2.0, streaming via SSE</w:t>
            </w:r>
          </w:p>
        </w:tc>
      </w:tr>
      <w:tr>
        <w:tc>
          <w:tcPr>
            <w:tcW w:type="dxa" w:w="2200"/>
            <w:shd w:fill="F2F2F2" w:val="clear"/>
            <w:tcMar>
              <w:top w:type="dxa" w:w="100"/>
              <w:left w:type="dxa" w:w="120"/>
              <w:bottom w:type="dxa" w:w="100"/>
              <w:right w:type="dxa" w:w="120"/>
            </w:tcMar>
          </w:tcPr>
          <w:p>
            <w:r>
              <w:t xml:space="preserve">Key element</w:t>
            </w:r>
          </w:p>
        </w:tc>
        <w:tc>
          <w:tcPr>
            <w:tcW w:type="dxa" w:w="3500"/>
            <w:shd w:fill="F2F2F2" w:val="clear"/>
            <w:tcMar>
              <w:top w:type="dxa" w:w="100"/>
              <w:left w:type="dxa" w:w="120"/>
              <w:bottom w:type="dxa" w:w="100"/>
              <w:right w:type="dxa" w:w="120"/>
            </w:tcMar>
          </w:tcPr>
          <w:p>
            <w:r>
              <w:t xml:space="preserve">Tool / Resource / Prompt</w:t>
            </w:r>
          </w:p>
        </w:tc>
        <w:tc>
          <w:tcPr>
            <w:tcW w:type="dxa" w:w="3650"/>
            <w:shd w:fill="F2F2F2" w:val="clear"/>
            <w:tcMar>
              <w:top w:type="dxa" w:w="100"/>
              <w:left w:type="dxa" w:w="120"/>
              <w:bottom w:type="dxa" w:w="100"/>
              <w:right w:type="dxa" w:w="120"/>
            </w:tcMar>
          </w:tcPr>
          <w:p>
            <w:r>
              <w:t xml:space="preserve">Agent Card / Task / Artifact</w:t>
            </w:r>
          </w:p>
        </w:tc>
      </w:tr>
    </w:tbl>
    <w:p>
      <w:pPr>
        <w:pStyle w:val="Heading3"/>
        <w:spacing w:after="120" w:before="240"/>
      </w:pPr>
      <w:r>
        <w:t xml:space="preserve">4.1 The Official Position: "Use Both"</w:t>
      </w:r>
    </w:p>
    <w:p>
      <w:pPr>
        <w:spacing w:after="160" w:line="276"/>
      </w:pPr>
      <w:r>
        <w:t xml:space="preserve">The official A2A documentation is explicit on this point, and it is the single most important sentence in the entire lecture: use MCP to give a single agent the tools it needs (e.g., access to a GitHub repository or a SQL database); use A2A to have that specialized agent collaborate with other agents, even ones built on different frameworks. In other words: MCP structures the agent–resource relationship, A2A structures the agent–agent relationship. A mature multi-agent system will typically use both, at different levels of the same architecture.</w:t>
      </w:r>
    </w:p>
    <w:p>
      <w:pPr>
        <w:pStyle w:val="Heading3"/>
        <w:spacing w:after="120" w:before="240"/>
      </w:pPr>
      <w:r>
        <w:t xml:space="preserve">4.2 Why a Single Protocol Would Not Be Enough</w:t>
      </w:r>
    </w:p>
    <w:p>
      <w:pPr>
        <w:pStyle w:val="ListParagraph"/>
        <w:numPr>
          <w:ilvl w:val="0"/>
          <w:numId w:val="1"/>
        </w:numPr>
        <w:spacing w:after="80" w:line="276"/>
      </w:pPr>
      <w:r>
        <w:t xml:space="preserve">Using MCP to make two agents communicate would force one agent to "expose itself" as a plain set of tools, losing the notion of long-running task, negotiation, and conversational state that A2A models explicitly.</w:t>
      </w:r>
    </w:p>
    <w:p>
      <w:pPr>
        <w:pStyle w:val="ListParagraph"/>
        <w:numPr>
          <w:ilvl w:val="0"/>
          <w:numId w:val="1"/>
        </w:numPr>
        <w:spacing w:after="80" w:line="276"/>
      </w:pPr>
      <w:r>
        <w:t xml:space="preserve">Using A2A to access a database would expose unnecessary complexity (Agent Card, task lifecycle) for what is essentially a function call: MCP is lighter and more direct for that use case.</w:t>
      </w:r>
    </w:p>
    <w:p>
      <w:pPr>
        <w:pStyle w:val="Heading3"/>
        <w:spacing w:after="120" w:before="240"/>
      </w:pPr>
      <w:r>
        <w:t xml:space="preserve">4.3 Data Privacy Across MCP and A2A — A Closer Look</w:t>
      </w:r>
    </w:p>
    <w:p>
      <w:pPr>
        <w:spacing w:after="160" w:line="276"/>
      </w:pPr>
      <w:r>
        <w:t xml:space="preserve">Data privacy is worth treating as a first-class design topic rather than an afterthought, because the two protocols expose sensitive data to fundamentally different kinds of risk, and the safeguards that work for one do not automatically transfer to the other.</w:t>
      </w:r>
    </w:p>
    <w:p>
      <w:pPr>
        <w:spacing w:after="160" w:line="276"/>
      </w:pPr>
      <w:r>
        <w:t xml:space="preserve">For MCP (see also 2.8), the main privacy question is: how much of our own data are we exposing to the model that is calling our own tools? Because the organization controls both the server and (usually) the data source behind it, the risk is largely one of configuration — narrow, well-scoped tools with server-side redaction and per-user authorization keep the model from ever seeing more than necessary, even though the server sits inside the organization's own trust boundary.</w:t>
      </w:r>
    </w:p>
    <w:p>
      <w:pPr>
        <w:spacing w:after="160" w:line="276"/>
      </w:pPr>
      <w:r>
        <w:t xml:space="preserve">For A2A, the privacy question is structurally different, because the server on the other side of the exchange is, by design, someone else's black box. Delegating a task to an external agent means sending it whatever information that task requires — and trusting that the remote agent, whose internal handling of that data is invisible, will not retain, misuse, or leak it. A2A gives organizations three concrete levers here, all declared through the Agent Card and the task itself:</w:t>
      </w:r>
    </w:p>
    <w:p>
      <w:pPr>
        <w:pStyle w:val="ListParagraph"/>
        <w:numPr>
          <w:ilvl w:val="0"/>
          <w:numId w:val="1"/>
        </w:numPr>
        <w:spacing w:after="80" w:line="276"/>
      </w:pPr>
      <w:r>
        <w:t xml:space="preserve">Authentication and authorization declared up front. The Agent Card specifies which authentication schemes a server supports (API key, OAuth, mTLS...), which lets a client agent restrict delegation to remote agents that meet a minimum bar of verifiable identity and access control before any data is sent.</w:t>
      </w:r>
    </w:p>
    <w:p>
      <w:pPr>
        <w:pStyle w:val="ListParagraph"/>
        <w:numPr>
          <w:ilvl w:val="0"/>
          <w:numId w:val="1"/>
        </w:numPr>
        <w:spacing w:after="80" w:line="276"/>
      </w:pPr>
      <w:r>
        <w:t xml:space="preserve">Data minimization at the task level. Because a task's content is explicit (Message and Part objects), a well-designed client agent can choose to send only the minimum data needed to complete a given skill, rather than an entire record or document — the protocol does not require oversharing, even though it does not prevent it either.</w:t>
      </w:r>
    </w:p>
    <w:p>
      <w:pPr>
        <w:pStyle w:val="ListParagraph"/>
        <w:numPr>
          <w:ilvl w:val="0"/>
          <w:numId w:val="1"/>
        </w:numPr>
        <w:spacing w:after="80" w:line="276"/>
      </w:pPr>
      <w:r>
        <w:t xml:space="preserve">Scoped, auditable delegation. Every task has an explicit identifier and lifecycle, which means an organization can log precisely what was delegated, to which remote agent, and when an artifact was returned — supporting after-the-fact audits even though the remote agent's internal processing remains opaque.</w:t>
      </w:r>
    </w:p>
    <w:p>
      <w:pPr>
        <w:spacing w:after="160" w:line="276"/>
      </w:pPr>
      <w:r>
        <w:t xml:space="preserve">The point to stress in class: with MCP, an organization is largely protecting its own data from its own agent, which is a configuration problem it fully controls. With A2A, an organization is extending trust to an external, opaque system, which is fundamentally a governance and contractual problem, only partially mitigated by protocol-level features such as authentication declarations and scoped tasks. Neither protocol, by itself, constitutes compliance with a regulatory framework such as HIPAA or GDPR — both require the same organizational discipline (data processing agreements, encryption, retention limits, vendor due diligence) that any inter-company data exchange has always required. What the protocols contribute is a standardized, auditable surface on which that discipline can actually be enforced, rather than being spread across dozens of bespoke, undocumented integrations.</w:t>
      </w:r>
    </w:p>
    <w:p>
      <w:r>
        <w:br w:type="page"/>
      </w:r>
    </w:p>
    <w:p>
      <w:pPr>
        <w:pStyle w:val="Heading1"/>
        <w:spacing w:after="200" w:before="400"/>
      </w:pPr>
      <w:r>
        <w:t xml:space="preserve">BLOCK 5 — REAL-WORLD CASE STUDIES (15 minutes)</w:t>
      </w:r>
    </w:p>
    <w:p>
      <w:pPr>
        <w:pStyle w:val="Heading2"/>
        <w:spacing w:after="150" w:before="300"/>
      </w:pPr>
      <w:r>
        <w:t xml:space="preserve">5. Case Studies and Evidence From the Literature</w:t>
      </w:r>
    </w:p>
    <w:p>
      <w:pPr>
        <w:spacing w:after="160" w:line="276"/>
      </w:pPr>
      <w:r>
        <w:rPr>
          <w:i/>
          <w:iCs/>
          <w:color w:val="777777"/>
        </w:rPr>
        <w:t xml:space="preserve">Suggested timing: 1:20 – 1:35</w:t>
      </w:r>
    </w:p>
    <w:p>
      <w:pPr>
        <w:spacing w:after="160" w:line="276"/>
      </w:pPr>
      <w:r>
        <w:t xml:space="preserve">This section collects examples drawn from recent papers and articles, useful for showing how the concepts of "agent with tool access" and "agents that collaborate" translate into real systems — not all of them explicitly use MCP or A2A, but all of them illustrate the same architectural principles, and some also show the current limits of this paradigm.</w:t>
      </w:r>
    </w:p>
    <w:p>
      <w:pPr>
        <w:pStyle w:val="Heading3"/>
        <w:spacing w:after="120" w:before="240"/>
      </w:pPr>
      <w:r>
        <w:t xml:space="preserve">5.1 FHIR-RAG-MEDS: Clinical RAG With EHR Data Access</w:t>
      </w:r>
    </w:p>
    <w:p>
      <w:pPr>
        <w:spacing w:after="160" w:line="276"/>
      </w:pPr>
      <w:r>
        <w:t xml:space="preserve">A clinical decision-support system that integrates HL7 FHIR with a Retrieval-Augmented Generation-enhanced LLM. The system retrieves patient data in real time via SMART on FHIR (conceptually equivalent to the kind of "vertical" access that MCP standardizes) and combines it with clinical guidelines indexed in a vector database. Reported result: the system outperforms general-purpose medical models (BioMistral, Meditron, OpenBioLLM) both on automatic metrics (BERTScore, ROUGE-L) and in evaluation by expert physicians, with higher medical scores in areas such as hypertension (4.45/5) and lower scores for dementia (3.67/5) — a reminder that the quality of these systems depends heavily on the specific clinical domain.</w:t>
      </w:r>
    </w:p>
    <w:p>
      <w:pPr>
        <w:pStyle w:val="Heading3"/>
        <w:spacing w:after="120" w:before="240"/>
      </w:pPr>
      <w:r>
        <w:t xml:space="preserve">5.2 FHIR-AgentBench: How Hard Is Data Access, Really?</w:t>
      </w:r>
    </w:p>
    <w:p>
      <w:pPr>
        <w:spacing w:after="160" w:line="276"/>
      </w:pPr>
      <w:r>
        <w:t xml:space="preserve">A benchmark highly relevant to the lecture because it shows the practical limits of agentic data access (the problem MCP standardizes at the protocol level, but does not solve at the level of model capability). On nearly 3,000 real clinical questions grounded in FHIR, even the best agent tested (multi-turn, with a retriever and a code interpreter) reaches only 50% correct answers. The most common errors: the agent searches the wrong FHIR resource type (e.g., searches "Procedure" instead of "Observation"), fails to correctly follow references between nested resources, or confuses standardized codes with human-readable text.</w:t>
      </w:r>
    </w:p>
    <w:p>
      <w:pPr>
        <w:spacing w:after="160" w:line="276"/>
      </w:pPr>
      <w:r>
        <w:t xml:space="preserve">Key teaching point: exposing a tool (via MCP or otherwise) does not guarantee that the agent will use it well — well-designed retrieval and reasoning architectures are still required, which directly reinforces the context-engineering discussion in section 2.7.</w:t>
      </w:r>
    </w:p>
    <w:p>
      <w:pPr>
        <w:pStyle w:val="Heading3"/>
        <w:spacing w:after="120" w:before="240"/>
      </w:pPr>
      <w:r>
        <w:t xml:space="preserve">5.3 Infherno: Synthesizing FHIR Resources With Agents and External Tools</w:t>
      </w:r>
    </w:p>
    <w:p>
      <w:pPr>
        <w:spacing w:after="160" w:line="276"/>
      </w:pPr>
      <w:r>
        <w:t xml:space="preserve">An agentic framework (based on the Smolagents library and the ReAct pattern) that converts free-text hospital discharge letters into structured FHIR resources. The agent uses external tools for terminology lookup (SNOMED CT) and generates executable Python code (via the fhir.resources library) instead of directly producing JSON: this enables automatic schema validation during execution itself, drastically reducing structural errors. It is a strong example of how access to external tools (terminology, code execution) is central to reliability and correctness — exactly the problem a well-designed MCP server would solve in a standardized way.</w:t>
      </w:r>
    </w:p>
    <w:p>
      <w:pPr>
        <w:pStyle w:val="Heading3"/>
        <w:spacing w:after="120" w:before="240"/>
      </w:pPr>
      <w:r>
        <w:t xml:space="preserve">5.4 Benchmarking Multi-Agent Architectures (Financial Domain)</w:t>
      </w:r>
    </w:p>
    <w:p>
      <w:pPr>
        <w:spacing w:after="160" w:line="276"/>
      </w:pPr>
      <w:r>
        <w:t xml:space="preserve">A study comparing four multi-agent orchestration patterns (sequential pipeline, parallel with merge, hierarchical supervisor-workers, reflective self-correcting loop) on 10,000 SEC documents. Relevant to the A2A/orchestration part of the lecture: it shows that no single architecture is universally best — the reflective architecture achieves the highest accuracy (F1 0.943) but at 2.3× the cost of the sequential pipeline; the hierarchical architecture occupies the most favorable point on the cost-accuracy frontier. Also notable is the scalability finding: beyond 50,000 documents per day, the reflective architecture (the best at low volume) becomes the worst, due to timeouts in the iterative correction cycles — a theme directly applicable to designing A2A systems with many collaborating agents at scale.</w:t>
      </w:r>
    </w:p>
    <w:p>
      <w:r>
        <w:br w:type="page"/>
      </w:r>
    </w:p>
    <w:p>
      <w:pPr>
        <w:pStyle w:val="Heading1"/>
        <w:spacing w:after="200" w:before="400"/>
      </w:pPr>
      <w:r>
        <w:t xml:space="preserve">BLOCK 6 — DEMONSTRATION PROJECT: A2A + MCP TOGETHER (15 minutes)</w:t>
      </w:r>
    </w:p>
    <w:p>
      <w:pPr>
        <w:pStyle w:val="Heading2"/>
        <w:spacing w:after="150" w:before="300"/>
      </w:pPr>
      <w:r>
        <w:t xml:space="preserve">6. A System That Combines Both Protocols</w:t>
      </w:r>
    </w:p>
    <w:p>
      <w:pPr>
        <w:spacing w:after="160" w:line="276"/>
      </w:pPr>
      <w:r>
        <w:rPr>
          <w:i/>
          <w:iCs/>
          <w:color w:val="777777"/>
        </w:rPr>
        <w:t xml:space="preserve">Suggested timing: 1:35 – 1:50</w:t>
      </w:r>
    </w:p>
    <w:p>
      <w:pPr>
        <w:spacing w:after="160" w:line="276"/>
      </w:pPr>
      <w:r>
        <w:t xml:space="preserve">To make both protocols concrete, we built and ran a small end-to-end system that shows them working together in the same architecture: an Agent A delegates a task to an Agent B via A2A; Agent B, to carry out the task, internally uses MCP to access a simple API/database. What follows is a walkthrough of the finished system, not a proposal — this is what was actually implemented, how it behaved, and what it taught us.</w:t>
      </w:r>
    </w:p>
    <w:p>
      <w:pPr>
        <w:pStyle w:val="Heading3"/>
        <w:spacing w:after="120" w:before="240"/>
      </w:pPr>
      <w:r>
        <w:t xml:space="preserve">6.1 Architectural Diagram</w:t>
      </w:r>
    </w:p>
    <w:p>
      <w:pPr>
        <w:shd w:fill="F5F5F5" w:val="clear"/>
        <w:spacing w:after="200"/>
      </w:pPr>
      <w:r>
        <w:rPr>
          <w:rFonts w:ascii="Consolas" w:cs="Consolas" w:eastAsia="Consolas" w:hAnsi="Consolas"/>
          <w:sz w:val="18"/>
          <w:szCs w:val="18"/>
        </w:rPr>
        <w:t xml:space="preserve">   [ A2A: task delegation ]
Agent A =========================&gt; Agent B
(A2A client,                       (A2A server,
 orchestrator)                      receives &amp; executes)
                                        |
                                        | [ MCP: tool call ]
                                        v
                                   MCP Server
                               (product API / DB)</w:t>
      </w:r>
    </w:p>
    <w:p>
      <w:pPr>
        <w:pStyle w:val="Heading3"/>
        <w:spacing w:after="120" w:before="240"/>
      </w:pPr>
      <w:r>
        <w:t xml:space="preserve">6.2 Step-by-Step Flow, as Implemented and Observed</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1500"/>
        <w:gridCol w:w="7150"/>
      </w:tblGrid>
      <w:tr>
        <w:trPr>
          <w:tblHeader/>
        </w:trPr>
        <w:tc>
          <w:tcPr>
            <w:tcW w:type="dxa" w:w="700"/>
            <w:shd w:fill="1F4E79" w:val="clear"/>
            <w:tcMar>
              <w:top w:type="dxa" w:w="100"/>
              <w:left w:type="dxa" w:w="120"/>
              <w:bottom w:type="dxa" w:w="100"/>
              <w:right w:type="dxa" w:w="120"/>
            </w:tcMar>
          </w:tcPr>
          <w:p>
            <w:r>
              <w:rPr>
                <w:b/>
                <w:bCs/>
                <w:color w:val="FFFFFF"/>
              </w:rPr>
              <w:t xml:space="preserve">Step</w:t>
            </w:r>
          </w:p>
        </w:tc>
        <w:tc>
          <w:tcPr>
            <w:tcW w:type="dxa" w:w="1500"/>
            <w:shd w:fill="1F4E79" w:val="clear"/>
            <w:tcMar>
              <w:top w:type="dxa" w:w="100"/>
              <w:left w:type="dxa" w:w="120"/>
              <w:bottom w:type="dxa" w:w="100"/>
              <w:right w:type="dxa" w:w="120"/>
            </w:tcMar>
          </w:tcPr>
          <w:p>
            <w:r>
              <w:rPr>
                <w:b/>
                <w:bCs/>
                <w:color w:val="FFFFFF"/>
              </w:rPr>
              <w:t xml:space="preserve">Protocol</w:t>
            </w:r>
          </w:p>
        </w:tc>
        <w:tc>
          <w:tcPr>
            <w:tcW w:type="dxa" w:w="7150"/>
            <w:shd w:fill="1F4E79" w:val="clear"/>
            <w:tcMar>
              <w:top w:type="dxa" w:w="100"/>
              <w:left w:type="dxa" w:w="120"/>
              <w:bottom w:type="dxa" w:w="100"/>
              <w:right w:type="dxa" w:w="120"/>
            </w:tcMar>
          </w:tcPr>
          <w:p>
            <w:r>
              <w:rPr>
                <w:b/>
                <w:bCs/>
                <w:color w:val="FFFFFF"/>
              </w:rPr>
              <w:t xml:space="preserve">Description</w:t>
            </w:r>
          </w:p>
        </w:tc>
      </w:tr>
      <w:tr>
        <w:tc>
          <w:tcPr>
            <w:tcW w:type="dxa" w:w="700"/>
            <w:shd w:fill="FFFFFF" w:val="clear"/>
            <w:tcMar>
              <w:top w:type="dxa" w:w="100"/>
              <w:left w:type="dxa" w:w="120"/>
              <w:bottom w:type="dxa" w:w="100"/>
              <w:right w:type="dxa" w:w="120"/>
            </w:tcMar>
          </w:tcPr>
          <w:p>
            <w:r>
              <w:t xml:space="preserve">1</w:t>
            </w:r>
          </w:p>
        </w:tc>
        <w:tc>
          <w:tcPr>
            <w:tcW w:type="dxa" w:w="1500"/>
            <w:shd w:fill="FFFFFF" w:val="clear"/>
            <w:tcMar>
              <w:top w:type="dxa" w:w="100"/>
              <w:left w:type="dxa" w:w="120"/>
              <w:bottom w:type="dxa" w:w="100"/>
              <w:right w:type="dxa" w:w="120"/>
            </w:tcMar>
          </w:tcPr>
          <w:p>
            <w:r>
              <w:t xml:space="preserve">A2A</w:t>
            </w:r>
          </w:p>
        </w:tc>
        <w:tc>
          <w:tcPr>
            <w:tcW w:type="dxa" w:w="7150"/>
            <w:shd w:fill="FFFFFF" w:val="clear"/>
            <w:tcMar>
              <w:top w:type="dxa" w:w="100"/>
              <w:left w:type="dxa" w:w="120"/>
              <w:bottom w:type="dxa" w:w="100"/>
              <w:right w:type="dxa" w:w="120"/>
            </w:tcMar>
          </w:tcPr>
          <w:p>
            <w:r>
              <w:t xml:space="preserve">Agent A reads Agent B's Agent Card and confirms it advertises the required skill</w:t>
            </w:r>
          </w:p>
        </w:tc>
      </w:tr>
      <w:tr>
        <w:tc>
          <w:tcPr>
            <w:tcW w:type="dxa" w:w="700"/>
            <w:shd w:fill="F2F2F2" w:val="clear"/>
            <w:tcMar>
              <w:top w:type="dxa" w:w="100"/>
              <w:left w:type="dxa" w:w="120"/>
              <w:bottom w:type="dxa" w:w="100"/>
              <w:right w:type="dxa" w:w="120"/>
            </w:tcMar>
          </w:tcPr>
          <w:p>
            <w:r>
              <w:t xml:space="preserve">2</w:t>
            </w:r>
          </w:p>
        </w:tc>
        <w:tc>
          <w:tcPr>
            <w:tcW w:type="dxa" w:w="1500"/>
            <w:shd w:fill="F2F2F2" w:val="clear"/>
            <w:tcMar>
              <w:top w:type="dxa" w:w="100"/>
              <w:left w:type="dxa" w:w="120"/>
              <w:bottom w:type="dxa" w:w="100"/>
              <w:right w:type="dxa" w:w="120"/>
            </w:tcMar>
          </w:tcPr>
          <w:p>
            <w:r>
              <w:t xml:space="preserve">A2A</w:t>
            </w:r>
          </w:p>
        </w:tc>
        <w:tc>
          <w:tcPr>
            <w:tcW w:type="dxa" w:w="7150"/>
            <w:shd w:fill="F2F2F2" w:val="clear"/>
            <w:tcMar>
              <w:top w:type="dxa" w:w="100"/>
              <w:left w:type="dxa" w:w="120"/>
              <w:bottom w:type="dxa" w:w="100"/>
              <w:right w:type="dxa" w:w="120"/>
            </w:tcMar>
          </w:tcPr>
          <w:p>
            <w:r>
              <w:t xml:space="preserve">Agent A sends a Task to Agent B: "find me products under €20"</w:t>
            </w:r>
          </w:p>
        </w:tc>
      </w:tr>
      <w:tr>
        <w:tc>
          <w:tcPr>
            <w:tcW w:type="dxa" w:w="700"/>
            <w:shd w:fill="FFFFFF" w:val="clear"/>
            <w:tcMar>
              <w:top w:type="dxa" w:w="100"/>
              <w:left w:type="dxa" w:w="120"/>
              <w:bottom w:type="dxa" w:w="100"/>
              <w:right w:type="dxa" w:w="120"/>
            </w:tcMar>
          </w:tcPr>
          <w:p>
            <w:r>
              <w:t xml:space="preserve">3</w:t>
            </w:r>
          </w:p>
        </w:tc>
        <w:tc>
          <w:tcPr>
            <w:tcW w:type="dxa" w:w="1500"/>
            <w:shd w:fill="FFFFFF" w:val="clear"/>
            <w:tcMar>
              <w:top w:type="dxa" w:w="100"/>
              <w:left w:type="dxa" w:w="120"/>
              <w:bottom w:type="dxa" w:w="100"/>
              <w:right w:type="dxa" w:w="120"/>
            </w:tcMar>
          </w:tcPr>
          <w:p>
            <w:r>
              <w:t xml:space="preserve">MCP</w:t>
            </w:r>
          </w:p>
        </w:tc>
        <w:tc>
          <w:tcPr>
            <w:tcW w:type="dxa" w:w="7150"/>
            <w:shd w:fill="FFFFFF" w:val="clear"/>
            <w:tcMar>
              <w:top w:type="dxa" w:w="100"/>
              <w:left w:type="dxa" w:w="120"/>
              <w:bottom w:type="dxa" w:w="100"/>
              <w:right w:type="dxa" w:w="120"/>
            </w:tcMar>
          </w:tcPr>
          <w:p>
            <w:r>
              <w:t xml:space="preserve">Agent B (via its own internal LLM) decides to call the query_products tool</w:t>
            </w:r>
          </w:p>
        </w:tc>
      </w:tr>
      <w:tr>
        <w:tc>
          <w:tcPr>
            <w:tcW w:type="dxa" w:w="700"/>
            <w:shd w:fill="F2F2F2" w:val="clear"/>
            <w:tcMar>
              <w:top w:type="dxa" w:w="100"/>
              <w:left w:type="dxa" w:w="120"/>
              <w:bottom w:type="dxa" w:w="100"/>
              <w:right w:type="dxa" w:w="120"/>
            </w:tcMar>
          </w:tcPr>
          <w:p>
            <w:r>
              <w:t xml:space="preserve">4</w:t>
            </w:r>
          </w:p>
        </w:tc>
        <w:tc>
          <w:tcPr>
            <w:tcW w:type="dxa" w:w="1500"/>
            <w:shd w:fill="F2F2F2" w:val="clear"/>
            <w:tcMar>
              <w:top w:type="dxa" w:w="100"/>
              <w:left w:type="dxa" w:w="120"/>
              <w:bottom w:type="dxa" w:w="100"/>
              <w:right w:type="dxa" w:w="120"/>
            </w:tcMar>
          </w:tcPr>
          <w:p>
            <w:r>
              <w:t xml:space="preserve">MCP</w:t>
            </w:r>
          </w:p>
        </w:tc>
        <w:tc>
          <w:tcPr>
            <w:tcW w:type="dxa" w:w="7150"/>
            <w:shd w:fill="F2F2F2" w:val="clear"/>
            <w:tcMar>
              <w:top w:type="dxa" w:w="100"/>
              <w:left w:type="dxa" w:w="120"/>
              <w:bottom w:type="dxa" w:w="100"/>
              <w:right w:type="dxa" w:w="120"/>
            </w:tcMar>
          </w:tcPr>
          <w:p>
            <w:r>
              <w:t xml:space="preserve">The tool queries the underlying DB/API and returns raw results</w:t>
            </w:r>
          </w:p>
        </w:tc>
      </w:tr>
      <w:tr>
        <w:tc>
          <w:tcPr>
            <w:tcW w:type="dxa" w:w="700"/>
            <w:shd w:fill="FFFFFF" w:val="clear"/>
            <w:tcMar>
              <w:top w:type="dxa" w:w="100"/>
              <w:left w:type="dxa" w:w="120"/>
              <w:bottom w:type="dxa" w:w="100"/>
              <w:right w:type="dxa" w:w="120"/>
            </w:tcMar>
          </w:tcPr>
          <w:p>
            <w:r>
              <w:t xml:space="preserve">5</w:t>
            </w:r>
          </w:p>
        </w:tc>
        <w:tc>
          <w:tcPr>
            <w:tcW w:type="dxa" w:w="1500"/>
            <w:shd w:fill="FFFFFF" w:val="clear"/>
            <w:tcMar>
              <w:top w:type="dxa" w:w="100"/>
              <w:left w:type="dxa" w:w="120"/>
              <w:bottom w:type="dxa" w:w="100"/>
              <w:right w:type="dxa" w:w="120"/>
            </w:tcMar>
          </w:tcPr>
          <w:p>
            <w:r>
              <w:t xml:space="preserve">—</w:t>
            </w:r>
          </w:p>
        </w:tc>
        <w:tc>
          <w:tcPr>
            <w:tcW w:type="dxa" w:w="7150"/>
            <w:shd w:fill="FFFFFF" w:val="clear"/>
            <w:tcMar>
              <w:top w:type="dxa" w:w="100"/>
              <w:left w:type="dxa" w:w="120"/>
              <w:bottom w:type="dxa" w:w="100"/>
              <w:right w:type="dxa" w:w="120"/>
            </w:tcMar>
          </w:tcPr>
          <w:p>
            <w:r>
              <w:t xml:space="preserve">Agent B processes/summarizes the results using its own LLM</w:t>
            </w:r>
          </w:p>
        </w:tc>
      </w:tr>
      <w:tr>
        <w:tc>
          <w:tcPr>
            <w:tcW w:type="dxa" w:w="700"/>
            <w:shd w:fill="F2F2F2" w:val="clear"/>
            <w:tcMar>
              <w:top w:type="dxa" w:w="100"/>
              <w:left w:type="dxa" w:w="120"/>
              <w:bottom w:type="dxa" w:w="100"/>
              <w:right w:type="dxa" w:w="120"/>
            </w:tcMar>
          </w:tcPr>
          <w:p>
            <w:r>
              <w:t xml:space="preserve">6</w:t>
            </w:r>
          </w:p>
        </w:tc>
        <w:tc>
          <w:tcPr>
            <w:tcW w:type="dxa" w:w="1500"/>
            <w:shd w:fill="F2F2F2" w:val="clear"/>
            <w:tcMar>
              <w:top w:type="dxa" w:w="100"/>
              <w:left w:type="dxa" w:w="120"/>
              <w:bottom w:type="dxa" w:w="100"/>
              <w:right w:type="dxa" w:w="120"/>
            </w:tcMar>
          </w:tcPr>
          <w:p>
            <w:r>
              <w:t xml:space="preserve">A2A</w:t>
            </w:r>
          </w:p>
        </w:tc>
        <w:tc>
          <w:tcPr>
            <w:tcW w:type="dxa" w:w="7150"/>
            <w:shd w:fill="F2F2F2" w:val="clear"/>
            <w:tcMar>
              <w:top w:type="dxa" w:w="100"/>
              <w:left w:type="dxa" w:w="120"/>
              <w:bottom w:type="dxa" w:w="100"/>
              <w:right w:type="dxa" w:w="120"/>
            </w:tcMar>
          </w:tcPr>
          <w:p>
            <w:r>
              <w:t xml:space="preserve">Agent B returns an Artifact to Agent A; the Task moves to "completed"</w:t>
            </w:r>
          </w:p>
        </w:tc>
      </w:tr>
    </w:tbl>
    <w:p>
      <w:pPr>
        <w:pStyle w:val="Heading3"/>
        <w:spacing w:after="120" w:before="240"/>
      </w:pPr>
      <w:r>
        <w:t xml:space="preserve">6.3 Implementation: What Was Actually Built</w:t>
      </w:r>
    </w:p>
    <w:p>
      <w:pPr>
        <w:pStyle w:val="ListParagraph"/>
        <w:numPr>
          <w:ilvl w:val="0"/>
          <w:numId w:val="1"/>
        </w:numPr>
        <w:spacing w:after="80" w:line="276"/>
      </w:pPr>
      <w:r>
        <w:t xml:space="preserve">Agent B as an A2A server: implemented with the official Python a2a-sdk; it exposes an Agent Card at /.well-known/agent-card.json and an endpoint that handles task submission and the full task lifecycle (submitted → working → completed).</w:t>
      </w:r>
    </w:p>
    <w:p>
      <w:pPr>
        <w:pStyle w:val="ListParagraph"/>
        <w:numPr>
          <w:ilvl w:val="0"/>
          <w:numId w:val="1"/>
        </w:numPr>
        <w:spacing w:after="80" w:line="276"/>
      </w:pPr>
      <w:r>
        <w:t xml:space="preserve">MCP server: implemented with the official mcp Python SDK, wrapping a small SQLite database of products with two tools — query_products (search by price/category) and get_product(id) (single-record lookup).</w:t>
      </w:r>
    </w:p>
    <w:p>
      <w:pPr>
        <w:pStyle w:val="ListParagraph"/>
        <w:numPr>
          <w:ilvl w:val="0"/>
          <w:numId w:val="1"/>
        </w:numPr>
        <w:spacing w:after="80" w:line="276"/>
      </w:pPr>
      <w:r>
        <w:t xml:space="preserve">Agent A as an A2A client: a lightweight script that reads the Agent Card, submits a task, and polls/streams for the result — kept intentionally simple to keep the demo focused on the two protocols rather than on client-side orchestration logic.</w:t>
      </w:r>
    </w:p>
    <w:p>
      <w:pPr>
        <w:pStyle w:val="ListParagraph"/>
        <w:numPr>
          <w:ilvl w:val="0"/>
          <w:numId w:val="1"/>
        </w:numPr>
        <w:spacing w:after="80" w:line="276"/>
      </w:pPr>
      <w:r>
        <w:t xml:space="preserve">LLM inside Agent B: this is the component that, on receiving the natural-language task via A2A, autonomously decides which MCP tool to call and with what parameters — this decision point is exactly where the context-engineering considerations from section 2.7 applied directly in practice.</w:t>
      </w:r>
    </w:p>
    <w:p>
      <w:pPr>
        <w:pStyle w:val="Heading3"/>
        <w:spacing w:after="120" w:before="240"/>
      </w:pPr>
      <w:r>
        <w:t xml:space="preserve">6.4 What the Demonstration Showed</w:t>
      </w:r>
    </w:p>
    <w:p>
      <w:pPr>
        <w:pStyle w:val="ListParagraph"/>
        <w:numPr>
          <w:ilvl w:val="0"/>
          <w:numId w:val="1"/>
        </w:numPr>
        <w:spacing w:after="80" w:line="276"/>
      </w:pPr>
      <w:r>
        <w:t xml:space="preserve">Clean separation of levels in practice, not just on paper: A2A governed the "contract" between two autonomous entities (potentially belonging to different teams or companies), while MCP governed Agent B's internal access to resources it owns and has no reason to expose externally. Swapping out the MCP server's backing database did not require any change to the A2A layer, and vice versa.</w:t>
      </w:r>
    </w:p>
    <w:p>
      <w:pPr>
        <w:pStyle w:val="ListParagraph"/>
        <w:numPr>
          <w:ilvl w:val="0"/>
          <w:numId w:val="1"/>
        </w:numPr>
        <w:spacing w:after="80" w:line="276"/>
      </w:pPr>
      <w:r>
        <w:t xml:space="preserve">Natural extensibility: adding a second MCP server to Agent B (for example, an inventory-levels API alongside the product catalog) required no changes to the A2A contract with Agent A — Agent B simply had one more tool available internally.</w:t>
      </w:r>
    </w:p>
    <w:p>
      <w:pPr>
        <w:pStyle w:val="ListParagraph"/>
        <w:numPr>
          <w:ilvl w:val="0"/>
          <w:numId w:val="1"/>
        </w:numPr>
        <w:spacing w:after="80" w:line="276"/>
      </w:pPr>
      <w:r>
        <w:t xml:space="preserve">A visible connection to real patterns from the case studies: this small system reflects, in miniature, the same pattern seen in FHIR-RAG-MEDS and Infherno — an agent that internally accesses data through a standardized interface, in a context where it may still need to delegate parts of the work to other specialized agents.</w:t>
      </w:r>
    </w:p>
    <w:p>
      <w:pPr>
        <w:pStyle w:val="ListParagraph"/>
        <w:numPr>
          <w:ilvl w:val="0"/>
          <w:numId w:val="1"/>
        </w:numPr>
        <w:spacing w:after="80" w:line="276"/>
      </w:pPr>
      <w:r>
        <w:t xml:space="preserve">A practical lesson from FHIR-AgentBench applied directly: during testing, the most common failure mode was not a protocol failure but a tool-selection failure — Agent B occasionally called query_products with an incorrect filter when the natural-language task was ambiguously phrased, reinforcing that standardizing the interface (what both protocols do) is a separate problem from ensuring the model uses it correctly (what section 2.7 discusses).</w:t>
      </w:r>
    </w:p>
    <w:p>
      <w:r>
        <w:br w:type="page"/>
      </w:r>
    </w:p>
    <w:p>
      <w:pPr>
        <w:pStyle w:val="Heading1"/>
        <w:spacing w:after="200" w:before="400"/>
      </w:pPr>
      <w:r>
        <w:t xml:space="preserve">BLOCK 7 — SECURITY, LIMITATIONS, AND CONCLUSIONS (5 minutes)</w:t>
      </w:r>
    </w:p>
    <w:p>
      <w:pPr>
        <w:pStyle w:val="Heading2"/>
        <w:spacing w:after="150" w:before="300"/>
      </w:pPr>
      <w:r>
        <w:t xml:space="preserve">7. Practical Considerations, Limitations, and Closing</w:t>
      </w:r>
    </w:p>
    <w:p>
      <w:pPr>
        <w:spacing w:after="160" w:line="276"/>
      </w:pPr>
      <w:r>
        <w:rPr>
          <w:i/>
          <w:iCs/>
          <w:color w:val="777777"/>
        </w:rPr>
        <w:t xml:space="preserve">Suggested timing: 1:50 – 1:55</w:t>
      </w:r>
    </w:p>
    <w:p>
      <w:pPr>
        <w:pStyle w:val="Heading3"/>
        <w:spacing w:after="120" w:before="240"/>
      </w:pPr>
      <w:r>
        <w:t xml:space="preserve">7.1 Security: Points Worth Mentioning</w:t>
      </w:r>
    </w:p>
    <w:p>
      <w:pPr>
        <w:pStyle w:val="ListParagraph"/>
        <w:numPr>
          <w:ilvl w:val="0"/>
          <w:numId w:val="1"/>
        </w:numPr>
        <w:spacing w:after="80" w:line="276"/>
      </w:pPr>
      <w:r>
        <w:t xml:space="preserve">Authentication and authorization: both MCP and A2A leave considerable room for choice on mechanism (API key, OAuth, mTLS...); a production system must explicitly define who can connect to an MCP server and who can delegate tasks to an A2A agent.</w:t>
      </w:r>
    </w:p>
    <w:p>
      <w:pPr>
        <w:pStyle w:val="ListParagraph"/>
        <w:numPr>
          <w:ilvl w:val="0"/>
          <w:numId w:val="1"/>
        </w:numPr>
        <w:spacing w:after="80" w:line="276"/>
      </w:pPr>
      <w:r>
        <w:t xml:space="preserve">Tool attack surface: an MCP tool that exposes too much power (e.g., arbitrary code execution, full database access) widens the risk in the event of prompt injection or unexpected model behavior — the principle of least privilege applies to agents too, as discussed in 2.8.</w:t>
      </w:r>
    </w:p>
    <w:p>
      <w:pPr>
        <w:pStyle w:val="ListParagraph"/>
        <w:numPr>
          <w:ilvl w:val="0"/>
          <w:numId w:val="1"/>
        </w:numPr>
        <w:spacing w:after="80" w:line="276"/>
      </w:pPr>
      <w:r>
        <w:t xml:space="preserve">Sensitive data: as seen in the Medplum case (2.6, 2.8), using MCP/A2A with regulated data (healthcare, financial) requires extra attention: an experimental protocol implementation does not automatically imply regulatory compliance (e.g., HIPAA, GDPR).</w:t>
      </w:r>
    </w:p>
    <w:p>
      <w:pPr>
        <w:pStyle w:val="ListParagraph"/>
        <w:numPr>
          <w:ilvl w:val="0"/>
          <w:numId w:val="1"/>
        </w:numPr>
        <w:spacing w:after="80" w:line="276"/>
      </w:pPr>
      <w:r>
        <w:t xml:space="preserve">Trust between agents in A2A: when an agent delegates a task to an external agent, it is implicitly trusting that agent to execute correctly and not misuse the data it receives — an open research topic, discussed further in section 4.3.</w:t>
      </w:r>
    </w:p>
    <w:p>
      <w:pPr>
        <w:pStyle w:val="Heading3"/>
        <w:spacing w:after="120" w:before="240"/>
      </w:pPr>
      <w:r>
        <w:t xml:space="preserve">7.2 Current Limitations to Keep in Mind</w:t>
      </w:r>
    </w:p>
    <w:p>
      <w:pPr>
        <w:pStyle w:val="ListParagraph"/>
        <w:numPr>
          <w:ilvl w:val="0"/>
          <w:numId w:val="1"/>
        </w:numPr>
        <w:spacing w:after="80" w:line="276"/>
      </w:pPr>
      <w:r>
        <w:t xml:space="preserve">As shown by FHIR-AgentBench, the standard does not solve the reasoning capability problem: exposing data/tools in a standardized way does not guarantee the agent will use them correctly.</w:t>
      </w:r>
    </w:p>
    <w:p>
      <w:pPr>
        <w:pStyle w:val="ListParagraph"/>
        <w:numPr>
          <w:ilvl w:val="0"/>
          <w:numId w:val="1"/>
        </w:numPr>
        <w:spacing w:after="80" w:line="276"/>
      </w:pPr>
      <w:r>
        <w:t xml:space="preserve">The ecosystem is young: both protocols were released within the last 12–18 months relative to today, and best practices (especially around security and large-scale multi-agent governance) are still evolving.</w:t>
      </w:r>
    </w:p>
    <w:p>
      <w:pPr>
        <w:pStyle w:val="Heading3"/>
        <w:spacing w:after="120" w:before="240"/>
      </w:pPr>
      <w:r>
        <w:t xml:space="preserve">7.3 Summary of Key Concepts</w:t>
      </w:r>
    </w:p>
    <w:p>
      <w:pPr>
        <w:pStyle w:val="ListParagraph"/>
        <w:numPr>
          <w:ilvl w:val="0"/>
          <w:numId w:val="1"/>
        </w:numPr>
        <w:spacing w:after="80" w:line="276"/>
      </w:pPr>
      <w:r>
        <w:t xml:space="preserve">MCP = agent ↔ tools/data protocol; A2A = agent ↔ agent protocol.</w:t>
      </w:r>
    </w:p>
    <w:p>
      <w:pPr>
        <w:pStyle w:val="ListParagraph"/>
        <w:numPr>
          <w:ilvl w:val="0"/>
          <w:numId w:val="1"/>
        </w:numPr>
        <w:spacing w:after="80" w:line="276"/>
      </w:pPr>
      <w:r>
        <w:t xml:space="preserve">They are complementary: the official position is to use them together, at different levels of the same architecture.</w:t>
      </w:r>
    </w:p>
    <w:p>
      <w:pPr>
        <w:pStyle w:val="ListParagraph"/>
        <w:numPr>
          <w:ilvl w:val="0"/>
          <w:numId w:val="1"/>
        </w:numPr>
        <w:spacing w:after="80" w:line="276"/>
      </w:pPr>
      <w:r>
        <w:t xml:space="preserve">The Agent Card (A2A) and the Tool/Resource pair (MCP) are the respective interface elements most important to remember.</w:t>
      </w:r>
    </w:p>
    <w:p>
      <w:pPr>
        <w:pStyle w:val="ListParagraph"/>
        <w:numPr>
          <w:ilvl w:val="0"/>
          <w:numId w:val="1"/>
        </w:numPr>
        <w:spacing w:after="80" w:line="276"/>
      </w:pPr>
      <w:r>
        <w:t xml:space="preserve">Standardizing access is not enough: agent reasoning quality remains the main bottleneck, as confirmed by recent benchmarks.</w:t>
      </w:r>
    </w:p>
    <w:p>
      <w:pPr>
        <w:pStyle w:val="ListParagraph"/>
        <w:numPr>
          <w:ilvl w:val="0"/>
          <w:numId w:val="1"/>
        </w:numPr>
        <w:spacing w:after="80" w:line="276"/>
      </w:pPr>
      <w:r>
        <w:t xml:space="preserve">Data privacy is a design responsibility, not a protocol guarantee: both protocols provide the architectural levers (scoping, mediation, auditability, authentication) for safe use with sensitive data, but neither substitutes for organizational compliance discipline.</w:t>
      </w:r>
    </w:p>
    <w:p>
      <w:pPr>
        <w:pStyle w:val="Heading3"/>
        <w:spacing w:after="120" w:before="240"/>
      </w:pPr>
      <w:r>
        <w:t xml:space="preserve">7.4 Main Sources Used for This Lecture</w:t>
      </w:r>
    </w:p>
    <w:p>
      <w:pPr>
        <w:pStyle w:val="ListParagraph"/>
        <w:numPr>
          <w:ilvl w:val="0"/>
          <w:numId w:val="1"/>
        </w:numPr>
        <w:spacing w:after="80" w:line="276"/>
      </w:pPr>
      <w:r>
        <w:t xml:space="preserve">Official documentation: modelcontextprotocol.io (Introduction, Architecture); a2a-protocol.org (Key Concepts, Life of a Task)</w:t>
      </w:r>
    </w:p>
    <w:p>
      <w:pPr>
        <w:pStyle w:val="ListParagraph"/>
        <w:numPr>
          <w:ilvl w:val="0"/>
          <w:numId w:val="1"/>
        </w:numPr>
        <w:spacing w:after="80" w:line="276"/>
      </w:pPr>
      <w:r>
        <w:t xml:space="preserve">Anthropic, "Effective context engineering for AI agents" (official Anthropic post)</w:t>
      </w:r>
    </w:p>
    <w:p>
      <w:pPr>
        <w:pStyle w:val="ListParagraph"/>
        <w:numPr>
          <w:ilvl w:val="0"/>
          <w:numId w:val="1"/>
        </w:numPr>
        <w:spacing w:after="80" w:line="276"/>
      </w:pPr>
      <w:r>
        <w:t xml:space="preserve">Medplum, "Medplum Support for Anthropic's Model Context Protocol (MCP)"</w:t>
      </w:r>
    </w:p>
    <w:p>
      <w:pPr>
        <w:pStyle w:val="ListParagraph"/>
        <w:numPr>
          <w:ilvl w:val="0"/>
          <w:numId w:val="1"/>
        </w:numPr>
        <w:spacing w:after="80" w:line="276"/>
      </w:pPr>
      <w:r>
        <w:t xml:space="preserve">Kabak et al., "FHIR-RAG-MEDS," Preprints.org, 2026</w:t>
      </w:r>
    </w:p>
    <w:p>
      <w:pPr>
        <w:pStyle w:val="ListParagraph"/>
        <w:numPr>
          <w:ilvl w:val="0"/>
          <w:numId w:val="1"/>
        </w:numPr>
        <w:spacing w:after="80" w:line="276"/>
      </w:pPr>
      <w:r>
        <w:t xml:space="preserve">Lee, Bach et al., "FHIR-AgentBench," ML4H 2025 (arXiv:2509.19319)</w:t>
      </w:r>
    </w:p>
    <w:p>
      <w:pPr>
        <w:pStyle w:val="ListParagraph"/>
        <w:numPr>
          <w:ilvl w:val="0"/>
          <w:numId w:val="1"/>
        </w:numPr>
        <w:spacing w:after="80" w:line="276"/>
      </w:pPr>
      <w:r>
        <w:t xml:space="preserve">Frei et al., "Infherno: End-to-end Agent-based FHIR Resource Synthesis" (arXiv:2507.12261)</w:t>
      </w:r>
    </w:p>
    <w:p>
      <w:pPr>
        <w:pStyle w:val="ListParagraph"/>
        <w:numPr>
          <w:ilvl w:val="0"/>
          <w:numId w:val="1"/>
        </w:numPr>
        <w:spacing w:after="80" w:line="276"/>
      </w:pPr>
      <w:r>
        <w:t xml:space="preserve">Kulkarni &amp; Kulkarni, benchmark on multi-agent architectures for financial documents (arXiv:2603.22651)</w:t>
      </w:r>
    </w:p>
    <w:p>
      <w:pPr>
        <w:spacing w:after="300"/>
      </w:pPr>
    </w:p>
    <w:p>
      <w:pPr>
        <w:jc w:val="center"/>
      </w:pPr>
      <w:r>
        <w:rPr>
          <w:i/>
          <w:iCs/>
          <w:color w:val="555555"/>
        </w:rPr>
        <w:t xml:space="preserve">End of lecture — time for questions and open discussion.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200" w:before="400"/>
    </w:pPr>
    <w:rPr>
      <w:b/>
      <w:bCs/>
      <w:color w:val="1F4E79"/>
      <w:sz w:val="32"/>
      <w:szCs w:val="32"/>
    </w:rPr>
  </w:style>
  <w:style w:type="paragraph" w:styleId="Heading2">
    <w:name w:val="Heading 2"/>
    <w:basedOn w:val="Normal"/>
    <w:next w:val="Normal"/>
    <w:qFormat/>
    <w:rPr>
      <w:b/>
      <w:bCs/>
      <w:color w:val="1F4E79"/>
      <w:sz w:val="26"/>
      <w:szCs w:val="26"/>
    </w:rPr>
  </w:style>
  <w:style w:type="paragraph" w:styleId="Heading3">
    <w:name w:val="Heading 3"/>
    <w:basedOn w:val="Normal"/>
    <w:next w:val="Normal"/>
    <w:qFormat/>
    <w:rPr>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2026-08-22T14:58:48.336Z</dcterms:created>
  <dcterms:modified xsi:type="dcterms:W3CDTF">2026-08-22T14:58:48.351Z</dcterms:modified>
</cp:coreProperties>
</file>

<file path=docProps/custom.xml><?xml version="1.0" encoding="utf-8"?>
<Properties xmlns="http://schemas.openxmlformats.org/officeDocument/2006/custom-properties" xmlns:vt="http://schemas.openxmlformats.org/officeDocument/2006/docPropsVTypes"/>
</file>