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results and thesis defence evidence</w:t>
      </w:r>
    </w:p>
    <w:p>
      <w:r>
        <w:t>Abdul Hannaan | Master in Computing | 28 October 2026</w:t>
      </w:r>
    </w:p>
    <w:p>
      <w:r>
        <w:t>The original hybrid controller improves total undervoltage on four severe development cases, but its fixed comparison test fails because one case worsens and two add strict overvoltage. The completed evidence now supports a clear, bounded account of progress and of the research still open.</w:t>
      </w:r>
    </w:p>
    <w:p>
      <w:pPr>
        <w:pStyle w:val="Heading1"/>
      </w:pPr>
      <w:r>
        <w:t>Four matched original federation cases</w:t>
      </w:r>
    </w:p>
    <w:tbl>
      <w:tblPr>
        <w:tblStyle w:val="TableGrid"/>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tcPr>
          <w:p>
            <w:pPr>
              <w:spacing w:after="80" w:line="240" w:lineRule="auto"/>
            </w:pPr>
            <w:r>
              <w:rPr>
                <w:b/>
                <w:sz w:val="21"/>
              </w:rPr>
              <w:t>Root</w:t>
            </w:r>
          </w:p>
        </w:tc>
        <w:tc>
          <w:tcPr>
            <w:tcW w:type="dxa" w:w="1860"/>
          </w:tcPr>
          <w:p>
            <w:pPr>
              <w:spacing w:after="80" w:line="240" w:lineRule="auto"/>
            </w:pPr>
            <w:r>
              <w:rPr>
                <w:b/>
                <w:sz w:val="21"/>
              </w:rPr>
              <w:t>Initial UV</w:t>
            </w:r>
          </w:p>
        </w:tc>
        <w:tc>
          <w:tcPr>
            <w:tcW w:type="dxa" w:w="1860"/>
          </w:tcPr>
          <w:p>
            <w:pPr>
              <w:spacing w:after="80" w:line="240" w:lineRule="auto"/>
            </w:pPr>
            <w:r>
              <w:rPr>
                <w:b/>
                <w:sz w:val="21"/>
              </w:rPr>
              <w:t>DFF UV/OV</w:t>
            </w:r>
          </w:p>
        </w:tc>
        <w:tc>
          <w:tcPr>
            <w:tcW w:type="dxa" w:w="1860"/>
          </w:tcPr>
          <w:p>
            <w:pPr>
              <w:spacing w:after="80" w:line="240" w:lineRule="auto"/>
            </w:pPr>
            <w:r>
              <w:rPr>
                <w:b/>
                <w:sz w:val="21"/>
              </w:rPr>
              <w:t>HG-VF UV/OV</w:t>
            </w:r>
          </w:p>
        </w:tc>
        <w:tc>
          <w:tcPr>
            <w:tcW w:type="dxa" w:w="1860"/>
          </w:tcPr>
          <w:p>
            <w:pPr>
              <w:spacing w:after="80" w:line="240" w:lineRule="auto"/>
            </w:pPr>
            <w:r>
              <w:rPr>
                <w:b/>
                <w:sz w:val="21"/>
              </w:rPr>
              <w:t>HG-SE UV/OV</w:t>
            </w:r>
          </w:p>
        </w:tc>
      </w:tr>
      <w:tr>
        <w:trPr>
          <w:cantSplit/>
        </w:trPr>
        <w:tc>
          <w:tcPr>
            <w:tcW w:type="dxa" w:w="1860"/>
          </w:tcPr>
          <w:p>
            <w:pPr>
              <w:spacing w:after="80" w:line="240" w:lineRule="auto"/>
            </w:pPr>
            <w:r>
              <w:rPr>
                <w:b w:val="0"/>
                <w:sz w:val="21"/>
              </w:rPr>
              <w:t>35_MG1</w:t>
            </w:r>
          </w:p>
        </w:tc>
        <w:tc>
          <w:tcPr>
            <w:tcW w:type="dxa" w:w="1860"/>
          </w:tcPr>
          <w:p>
            <w:pPr>
              <w:spacing w:after="80" w:line="240" w:lineRule="auto"/>
            </w:pPr>
            <w:r>
              <w:rPr>
                <w:b w:val="0"/>
                <w:sz w:val="21"/>
              </w:rPr>
              <w:t>56</w:t>
            </w:r>
          </w:p>
        </w:tc>
        <w:tc>
          <w:tcPr>
            <w:tcW w:type="dxa" w:w="1860"/>
          </w:tcPr>
          <w:p>
            <w:pPr>
              <w:spacing w:after="80" w:line="240" w:lineRule="auto"/>
            </w:pPr>
            <w:r>
              <w:rPr>
                <w:b w:val="0"/>
                <w:sz w:val="21"/>
              </w:rPr>
              <w:t>11/3</w:t>
            </w:r>
          </w:p>
        </w:tc>
        <w:tc>
          <w:tcPr>
            <w:tcW w:type="dxa" w:w="1860"/>
          </w:tcPr>
          <w:p>
            <w:pPr>
              <w:spacing w:after="80" w:line="240" w:lineRule="auto"/>
            </w:pPr>
            <w:r>
              <w:rPr>
                <w:b w:val="0"/>
                <w:sz w:val="21"/>
              </w:rPr>
              <w:t>7/2</w:t>
            </w:r>
          </w:p>
        </w:tc>
        <w:tc>
          <w:tcPr>
            <w:tcW w:type="dxa" w:w="1860"/>
          </w:tcPr>
          <w:p>
            <w:pPr>
              <w:spacing w:after="80" w:line="240" w:lineRule="auto"/>
            </w:pPr>
            <w:r>
              <w:rPr>
                <w:b w:val="0"/>
                <w:sz w:val="21"/>
              </w:rPr>
              <w:t>7/2</w:t>
            </w:r>
          </w:p>
        </w:tc>
      </w:tr>
      <w:tr>
        <w:trPr>
          <w:cantSplit/>
        </w:trPr>
        <w:tc>
          <w:tcPr>
            <w:tcW w:type="dxa" w:w="1860"/>
          </w:tcPr>
          <w:p>
            <w:pPr>
              <w:spacing w:after="80" w:line="240" w:lineRule="auto"/>
            </w:pPr>
            <w:r>
              <w:rPr>
                <w:b w:val="0"/>
                <w:sz w:val="21"/>
              </w:rPr>
              <w:t>36_MG1</w:t>
            </w:r>
          </w:p>
        </w:tc>
        <w:tc>
          <w:tcPr>
            <w:tcW w:type="dxa" w:w="1860"/>
          </w:tcPr>
          <w:p>
            <w:pPr>
              <w:spacing w:after="80" w:line="240" w:lineRule="auto"/>
            </w:pPr>
            <w:r>
              <w:rPr>
                <w:b w:val="0"/>
                <w:sz w:val="21"/>
              </w:rPr>
              <w:t>58</w:t>
            </w:r>
          </w:p>
        </w:tc>
        <w:tc>
          <w:tcPr>
            <w:tcW w:type="dxa" w:w="1860"/>
          </w:tcPr>
          <w:p>
            <w:pPr>
              <w:spacing w:after="80" w:line="240" w:lineRule="auto"/>
            </w:pPr>
            <w:r>
              <w:rPr>
                <w:b w:val="0"/>
                <w:sz w:val="21"/>
              </w:rPr>
              <w:t>15/2</w:t>
            </w:r>
          </w:p>
        </w:tc>
        <w:tc>
          <w:tcPr>
            <w:tcW w:type="dxa" w:w="1860"/>
          </w:tcPr>
          <w:p>
            <w:pPr>
              <w:spacing w:after="80" w:line="240" w:lineRule="auto"/>
            </w:pPr>
            <w:r>
              <w:rPr>
                <w:b w:val="0"/>
                <w:sz w:val="21"/>
              </w:rPr>
              <w:t>1/3</w:t>
            </w:r>
          </w:p>
        </w:tc>
        <w:tc>
          <w:tcPr>
            <w:tcW w:type="dxa" w:w="1860"/>
          </w:tcPr>
          <w:p>
            <w:pPr>
              <w:spacing w:after="80" w:line="240" w:lineRule="auto"/>
            </w:pPr>
            <w:r>
              <w:rPr>
                <w:b w:val="0"/>
                <w:sz w:val="21"/>
              </w:rPr>
              <w:t>1/3</w:t>
            </w:r>
          </w:p>
        </w:tc>
      </w:tr>
      <w:tr>
        <w:trPr>
          <w:cantSplit/>
        </w:trPr>
        <w:tc>
          <w:tcPr>
            <w:tcW w:type="dxa" w:w="1860"/>
          </w:tcPr>
          <w:p>
            <w:pPr>
              <w:spacing w:after="80" w:line="240" w:lineRule="auto"/>
            </w:pPr>
            <w:r>
              <w:rPr>
                <w:b w:val="0"/>
                <w:sz w:val="21"/>
              </w:rPr>
              <w:t>84_MG2</w:t>
            </w:r>
          </w:p>
        </w:tc>
        <w:tc>
          <w:tcPr>
            <w:tcW w:type="dxa" w:w="1860"/>
          </w:tcPr>
          <w:p>
            <w:pPr>
              <w:spacing w:after="80" w:line="240" w:lineRule="auto"/>
            </w:pPr>
            <w:r>
              <w:rPr>
                <w:b w:val="0"/>
                <w:sz w:val="21"/>
              </w:rPr>
              <w:t>57</w:t>
            </w:r>
          </w:p>
        </w:tc>
        <w:tc>
          <w:tcPr>
            <w:tcW w:type="dxa" w:w="1860"/>
          </w:tcPr>
          <w:p>
            <w:pPr>
              <w:spacing w:after="80" w:line="240" w:lineRule="auto"/>
            </w:pPr>
            <w:r>
              <w:rPr>
                <w:b w:val="0"/>
                <w:sz w:val="21"/>
              </w:rPr>
              <w:t>18/2</w:t>
            </w:r>
          </w:p>
        </w:tc>
        <w:tc>
          <w:tcPr>
            <w:tcW w:type="dxa" w:w="1860"/>
          </w:tcPr>
          <w:p>
            <w:pPr>
              <w:spacing w:after="80" w:line="240" w:lineRule="auto"/>
            </w:pPr>
            <w:r>
              <w:rPr>
                <w:b w:val="0"/>
                <w:sz w:val="21"/>
              </w:rPr>
              <w:t>5/3</w:t>
            </w:r>
          </w:p>
        </w:tc>
        <w:tc>
          <w:tcPr>
            <w:tcW w:type="dxa" w:w="1860"/>
          </w:tcPr>
          <w:p>
            <w:pPr>
              <w:spacing w:after="80" w:line="240" w:lineRule="auto"/>
            </w:pPr>
            <w:r>
              <w:rPr>
                <w:b w:val="0"/>
                <w:sz w:val="21"/>
              </w:rPr>
              <w:t>5/3</w:t>
            </w:r>
          </w:p>
        </w:tc>
      </w:tr>
      <w:tr>
        <w:trPr>
          <w:cantSplit/>
        </w:trPr>
        <w:tc>
          <w:tcPr>
            <w:tcW w:type="dxa" w:w="1860"/>
          </w:tcPr>
          <w:p>
            <w:pPr>
              <w:spacing w:after="80" w:line="240" w:lineRule="auto"/>
            </w:pPr>
            <w:r>
              <w:rPr>
                <w:b w:val="0"/>
                <w:sz w:val="21"/>
              </w:rPr>
              <w:t>127_MG3</w:t>
            </w:r>
          </w:p>
        </w:tc>
        <w:tc>
          <w:tcPr>
            <w:tcW w:type="dxa" w:w="1860"/>
          </w:tcPr>
          <w:p>
            <w:pPr>
              <w:spacing w:after="80" w:line="240" w:lineRule="auto"/>
            </w:pPr>
            <w:r>
              <w:rPr>
                <w:b w:val="0"/>
                <w:sz w:val="21"/>
              </w:rPr>
              <w:t>55</w:t>
            </w:r>
          </w:p>
        </w:tc>
        <w:tc>
          <w:tcPr>
            <w:tcW w:type="dxa" w:w="1860"/>
          </w:tcPr>
          <w:p>
            <w:pPr>
              <w:spacing w:after="80" w:line="240" w:lineRule="auto"/>
            </w:pPr>
            <w:r>
              <w:rPr>
                <w:b w:val="0"/>
                <w:sz w:val="21"/>
              </w:rPr>
              <w:t>7/4</w:t>
            </w:r>
          </w:p>
        </w:tc>
        <w:tc>
          <w:tcPr>
            <w:tcW w:type="dxa" w:w="1860"/>
          </w:tcPr>
          <w:p>
            <w:pPr>
              <w:spacing w:after="80" w:line="240" w:lineRule="auto"/>
            </w:pPr>
            <w:r>
              <w:rPr>
                <w:b w:val="0"/>
                <w:sz w:val="21"/>
              </w:rPr>
              <w:t>13/3</w:t>
            </w:r>
          </w:p>
        </w:tc>
        <w:tc>
          <w:tcPr>
            <w:tcW w:type="dxa" w:w="1860"/>
          </w:tcPr>
          <w:p>
            <w:pPr>
              <w:spacing w:after="80" w:line="240" w:lineRule="auto"/>
            </w:pPr>
            <w:r>
              <w:rPr>
                <w:b w:val="0"/>
                <w:sz w:val="21"/>
              </w:rPr>
              <w:t>7/4</w:t>
            </w:r>
          </w:p>
        </w:tc>
      </w:tr>
    </w:tbl>
    <w:p>
      <w:r>
        <w:t>DFF leaves 51 undervoltage buses across the four cases and HG-VF leaves 26, a descriptive reduction of 25 residual violations, or 49.0%. HG-VF improves the UV count in three cases and worsens it in one. Line36MG1 improves from 58 initial UV to one with HG-VF, compared with 15 remaining under DFF. Line127MG3 instead leaves 13 under HG-VF and seven under DFF, so the positive total does not imply improvement on every case.</w:t>
      </w:r>
    </w:p>
    <w:p>
      <w:r>
        <w:t>Strict overvoltage uses Vm &gt; 1.05 p.u., while the unchanged original acceptance guard allows values up to 1.06 p.u. HG-VF adds one strict overvoltage relative to DFF on both Line36MG1 and Line84MG2. Its total of 11 strict overvoltages equals DFF's total only because the other two cases each remove one. The predefined test required at least two UV wins, no UV loss and no additional strict OV in any case. It fails. Neither branch restores the whole 0.95–1.05 p.u. band in any of these four cases.</w:t>
      </w:r>
    </w:p>
    <w:p>
      <w:r>
        <w:t>The unchanged offline HG-SE selector retains the HG-VF trajectory in the first three cases and the DFF trajectory in the fourth. Its selected endpoints contain 20 UV and 12 strict OV. The 60.8% reduction in total residual UV relative to DFF is a descriptive result of evaluating and then selecting between both complete branches. The selector does not include an explicit OV tie criterion. It is not a fresh online language decision, and its cost includes both searches.</w:t>
      </w:r>
    </w:p>
    <w:p>
      <w:r>
        <w:t>Evidence E1–E3. UV means Vm &lt;0.95; strict OV means Vm &gt;1.05. Same predeclared roots and original native controller contract; greater intervention and full search costs are disclosed.</w:t>
      </w:r>
    </w:p>
    <w:p>
      <w:r>
        <w:br w:type="page"/>
      </w:r>
    </w:p>
    <w:p>
      <w:pPr>
        <w:pStyle w:val="Heading1"/>
      </w:pPr>
      <w:r>
        <w:t>Action origins costs and interpretation</w:t>
      </w:r>
    </w:p>
    <w:tbl>
      <w:tblPr>
        <w:tblStyle w:val="TableGrid"/>
        <w:tblW w:type="auto" w:w="0"/>
        <w:tblLook w:firstColumn="1" w:firstRow="1" w:lastColumn="0" w:lastRow="0" w:noHBand="0" w:noVBand="1" w:val="04A0"/>
      </w:tblPr>
      <w:tblGrid>
        <w:gridCol w:w="2324"/>
        <w:gridCol w:w="2324"/>
        <w:gridCol w:w="2324"/>
        <w:gridCol w:w="2324"/>
      </w:tblGrid>
      <w:tr>
        <w:trPr>
          <w:cantSplit/>
          <w:tblHeader/>
        </w:trPr>
        <w:tc>
          <w:tcPr>
            <w:tcW w:type="dxa" w:w="2324"/>
          </w:tcPr>
          <w:p>
            <w:pPr>
              <w:spacing w:after="80" w:line="240" w:lineRule="auto"/>
            </w:pPr>
            <w:r>
              <w:rPr>
                <w:b/>
                <w:sz w:val="21"/>
              </w:rPr>
              <w:t>Method</w:t>
            </w:r>
          </w:p>
        </w:tc>
        <w:tc>
          <w:tcPr>
            <w:tcW w:type="dxa" w:w="2324"/>
          </w:tcPr>
          <w:p>
            <w:pPr>
              <w:spacing w:after="80" w:line="240" w:lineRule="auto"/>
            </w:pPr>
            <w:r>
              <w:rPr>
                <w:b/>
                <w:sz w:val="21"/>
              </w:rPr>
              <w:t>Residual UV</w:t>
            </w:r>
          </w:p>
        </w:tc>
        <w:tc>
          <w:tcPr>
            <w:tcW w:type="dxa" w:w="2324"/>
          </w:tcPr>
          <w:p>
            <w:pPr>
              <w:spacing w:after="80" w:line="240" w:lineRule="auto"/>
            </w:pPr>
            <w:r>
              <w:rPr>
                <w:b/>
                <w:sz w:val="21"/>
              </w:rPr>
              <w:t>Strict OV</w:t>
            </w:r>
          </w:p>
        </w:tc>
        <w:tc>
          <w:tcPr>
            <w:tcW w:type="dxa" w:w="2324"/>
          </w:tcPr>
          <w:p>
            <w:pPr>
              <w:spacing w:after="80" w:line="240" w:lineRule="auto"/>
            </w:pPr>
            <w:r>
              <w:rPr>
                <w:b/>
                <w:sz w:val="21"/>
              </w:rPr>
              <w:t>Accepted actions</w:t>
            </w:r>
          </w:p>
        </w:tc>
      </w:tr>
      <w:tr>
        <w:trPr>
          <w:cantSplit/>
        </w:trPr>
        <w:tc>
          <w:tcPr>
            <w:tcW w:type="dxa" w:w="2324"/>
          </w:tcPr>
          <w:p>
            <w:pPr>
              <w:spacing w:after="80" w:line="240" w:lineRule="auto"/>
            </w:pPr>
            <w:r>
              <w:rPr>
                <w:b w:val="0"/>
                <w:sz w:val="21"/>
              </w:rPr>
              <w:t>DFF</w:t>
            </w:r>
          </w:p>
        </w:tc>
        <w:tc>
          <w:tcPr>
            <w:tcW w:type="dxa" w:w="2324"/>
          </w:tcPr>
          <w:p>
            <w:pPr>
              <w:spacing w:after="80" w:line="240" w:lineRule="auto"/>
            </w:pPr>
            <w:r>
              <w:rPr>
                <w:b w:val="0"/>
                <w:sz w:val="21"/>
              </w:rPr>
              <w:t>51</w:t>
            </w:r>
          </w:p>
        </w:tc>
        <w:tc>
          <w:tcPr>
            <w:tcW w:type="dxa" w:w="2324"/>
          </w:tcPr>
          <w:p>
            <w:pPr>
              <w:spacing w:after="80" w:line="240" w:lineRule="auto"/>
            </w:pPr>
            <w:r>
              <w:rPr>
                <w:b w:val="0"/>
                <w:sz w:val="21"/>
              </w:rPr>
              <w:t>11</w:t>
            </w:r>
          </w:p>
        </w:tc>
        <w:tc>
          <w:tcPr>
            <w:tcW w:type="dxa" w:w="2324"/>
          </w:tcPr>
          <w:p>
            <w:pPr>
              <w:spacing w:after="80" w:line="240" w:lineRule="auto"/>
            </w:pPr>
            <w:r>
              <w:rPr>
                <w:b w:val="0"/>
                <w:sz w:val="21"/>
              </w:rPr>
              <w:t>29</w:t>
            </w:r>
          </w:p>
        </w:tc>
      </w:tr>
      <w:tr>
        <w:trPr>
          <w:cantSplit/>
        </w:trPr>
        <w:tc>
          <w:tcPr>
            <w:tcW w:type="dxa" w:w="2324"/>
          </w:tcPr>
          <w:p>
            <w:pPr>
              <w:spacing w:after="80" w:line="240" w:lineRule="auto"/>
            </w:pPr>
            <w:r>
              <w:rPr>
                <w:b w:val="0"/>
                <w:sz w:val="21"/>
              </w:rPr>
              <w:t>HG-VF</w:t>
            </w:r>
          </w:p>
        </w:tc>
        <w:tc>
          <w:tcPr>
            <w:tcW w:type="dxa" w:w="2324"/>
          </w:tcPr>
          <w:p>
            <w:pPr>
              <w:spacing w:after="80" w:line="240" w:lineRule="auto"/>
            </w:pPr>
            <w:r>
              <w:rPr>
                <w:b w:val="0"/>
                <w:sz w:val="21"/>
              </w:rPr>
              <w:t>26</w:t>
            </w:r>
          </w:p>
        </w:tc>
        <w:tc>
          <w:tcPr>
            <w:tcW w:type="dxa" w:w="2324"/>
          </w:tcPr>
          <w:p>
            <w:pPr>
              <w:spacing w:after="80" w:line="240" w:lineRule="auto"/>
            </w:pPr>
            <w:r>
              <w:rPr>
                <w:b w:val="0"/>
                <w:sz w:val="21"/>
              </w:rPr>
              <w:t>11</w:t>
            </w:r>
          </w:p>
        </w:tc>
        <w:tc>
          <w:tcPr>
            <w:tcW w:type="dxa" w:w="2324"/>
          </w:tcPr>
          <w:p>
            <w:pPr>
              <w:spacing w:after="80" w:line="240" w:lineRule="auto"/>
            </w:pPr>
            <w:r>
              <w:rPr>
                <w:b w:val="0"/>
                <w:sz w:val="21"/>
              </w:rPr>
              <w:t>73</w:t>
            </w:r>
          </w:p>
        </w:tc>
      </w:tr>
      <w:tr>
        <w:trPr>
          <w:cantSplit/>
        </w:trPr>
        <w:tc>
          <w:tcPr>
            <w:tcW w:type="dxa" w:w="2324"/>
          </w:tcPr>
          <w:p>
            <w:pPr>
              <w:spacing w:after="80" w:line="240" w:lineRule="auto"/>
            </w:pPr>
            <w:r>
              <w:rPr>
                <w:b w:val="0"/>
                <w:sz w:val="21"/>
              </w:rPr>
              <w:t>Offline HG-SE</w:t>
            </w:r>
          </w:p>
        </w:tc>
        <w:tc>
          <w:tcPr>
            <w:tcW w:type="dxa" w:w="2324"/>
          </w:tcPr>
          <w:p>
            <w:pPr>
              <w:spacing w:after="80" w:line="240" w:lineRule="auto"/>
            </w:pPr>
            <w:r>
              <w:rPr>
                <w:b w:val="0"/>
                <w:sz w:val="21"/>
              </w:rPr>
              <w:t>20</w:t>
            </w:r>
          </w:p>
        </w:tc>
        <w:tc>
          <w:tcPr>
            <w:tcW w:type="dxa" w:w="2324"/>
          </w:tcPr>
          <w:p>
            <w:pPr>
              <w:spacing w:after="80" w:line="240" w:lineRule="auto"/>
            </w:pPr>
            <w:r>
              <w:rPr>
                <w:b w:val="0"/>
                <w:sz w:val="21"/>
              </w:rPr>
              <w:t>12</w:t>
            </w:r>
          </w:p>
        </w:tc>
        <w:tc>
          <w:tcPr>
            <w:tcW w:type="dxa" w:w="2324"/>
          </w:tcPr>
          <w:p>
            <w:pPr>
              <w:spacing w:after="80" w:line="240" w:lineRule="auto"/>
            </w:pPr>
            <w:r>
              <w:rPr>
                <w:b w:val="0"/>
                <w:sz w:val="21"/>
              </w:rPr>
              <w:t>71</w:t>
            </w:r>
          </w:p>
        </w:tc>
      </w:tr>
    </w:tbl>
    <w:p>
      <w:r>
        <w:t>DFF uses 29 accepted actions across the four cases, while HG-VF uses 73. The latter comprise 51 direct language actions, 13 guided actions and nine fallback actions. These are accepted-action origins, not raw output validity rates or a causal allocation of the voltage improvement. Guided refinement, fallback and numerical verification all contribute to the combined controller. A numerical D-SE comparison and matched information, intervention and query costs remain necessary for an incremental LLM claim.</w:t>
      </w:r>
    </w:p>
    <w:p>
      <w:r>
        <w:t>The two new suffixes record 1,933 primary PF attempts, 1,927 returned solutions and six preserved exceptions. The independent readers replay each new successful input once, with zero maximum difference over the checked fields; the largest KCL residual is approximately 1.14 × 10⁻⁸ p.u. They verify 140 new controller model responses; the remote records also include two separately charged cold-check generations. Old prefixes, training, shared queries, setup and failed work remain separately paid. Overlapping workflow times are not added as a deployment latency estimate.</w:t>
      </w:r>
    </w:p>
    <w:p>
      <w:r>
        <w:t>For the four matched roots, HG-VF minus DFF residual-UV differences are −4, −14, −13 and +6, giving a mean difference of −6.25 and a median of −8.5. These are descriptive development effects. The four roots were already inspected, so no IID confidence interval, repeated-run variance or unused-confirmation claim is attached to this table. The four-case study does not reconstruct the final 137-scenario manuscript cohort or establish an external-method benchmark.</w:t>
      </w:r>
    </w:p>
    <w:p>
      <w:r>
        <w:t>The original method uses a native 1.06 upper guard. Numerical replay verifies the fields and equations actually checked; it does not certify all branch thermal limits, generator capability curves, stability or cybersecurity. Case 0's earlier supervisor exit remains unknown even though its closed independent evidence is retained. Sources E1–E3 and E7.</w:t>
      </w:r>
    </w:p>
    <w:p>
      <w:r>
        <w:br w:type="page"/>
      </w:r>
    </w:p>
    <w:p>
      <w:pPr>
        <w:pStyle w:val="Heading1"/>
      </w:pPr>
      <w:r>
        <w:t>Research questions 1 to 3</w:t>
      </w:r>
    </w:p>
    <w:p>
      <w:pPr>
        <w:pStyle w:val="Heading2"/>
      </w:pPr>
      <w:r>
        <w:t>RQ1 How can power system theory and operational reports be organised into a useful question–answer resource while preserving their sources and limitations?</w:t>
      </w:r>
    </w:p>
    <w:p>
      <w:r>
        <w:t>Evidence: Published dataset and its documented curation/retrieval analyses; candidate contribution and coauthor expert review retained.</w:t>
      </w:r>
    </w:p>
    <w:p>
      <w:r>
        <w:t>Finding and limit: PowerGridQA supplies a structured theory and operations QA resource. This is a dataset contribution, not a voltage-control result. Exact release/split lineage, the 4,396 versus 4,696 NERC scope and shared-source leakage remain unresolved.</w:t>
      </w:r>
    </w:p>
    <w:p>
      <w:r>
        <w:t>Likely examiner question: How do you know the test answers were independent of the source corpus? Explain source grouping and leave unrecovered versions unknown.</w:t>
      </w:r>
    </w:p>
    <w:p>
      <w:pPr>
        <w:pStyle w:val="Heading2"/>
      </w:pPr>
      <w:r>
        <w:t>RQ2 How does retrieval affect answer support, factual accuracy and refusal behaviour compared with answering from model parameters alone?</w:t>
      </w:r>
    </w:p>
    <w:p>
      <w:r>
        <w:t>Evidence: Historical 500 printed RAG triples recovered by two agreeing parsers with zero new inference; manuscript answering and stress figures retained as reported.</w:t>
      </w:r>
    </w:p>
    <w:p>
      <w:r>
        <w:t>Finding and limit: The recovered recipe uses public 0.5B, top three retrieval and greedy 256-token generation. Its same-named QA indexing is an in-corpus recipe. The exact 99% factual grading, runtime index and revisions are not recovered; 342 parsed NLI cases are a separate closed-book baseline.</w:t>
      </w:r>
    </w:p>
    <w:p>
      <w:r>
        <w:t>Likely examiner question: Does 99% demonstrate generalisation or a causal RAG effect? No: those claims need matched ablation and exact labels; do not equate cosine grounding with truth.</w:t>
      </w:r>
    </w:p>
    <w:p>
      <w:pPr>
        <w:pStyle w:val="Heading2"/>
      </w:pPr>
      <w:r>
        <w:t>RQ3 How reliably can an adapted small language model produce valid control commands from the information available at the decision point?</w:t>
      </w:r>
    </w:p>
    <w:p>
      <w:r>
        <w:t>Evidence: Original source/parser/LoRA/controller integrations and complete four-root trajectories; matched public 0.5B/1.5B output schema 100% in the teacher task.</w:t>
      </w:r>
    </w:p>
    <w:p>
      <w:r>
        <w:t>Finding and limit: A working structured control interface is established for its specified role. Original HG-VF accepted 73 actions: 51 direct, 13 guided and 9 fallback. These counts are not raw validity rates. The original positive 25-Mvar shunt language does not directly transfer to a sub-Mvar bidirectional inverter role.</w:t>
      </w:r>
    </w:p>
    <w:p>
      <w:r>
        <w:t>Likely examiner question: Were fallback commands counted as model successes? Keep each origin separate and do not use schema compliance as evidence of electrical superiority.</w:t>
      </w:r>
    </w:p>
    <w:p>
      <w:r>
        <w:br w:type="page"/>
      </w:r>
    </w:p>
    <w:p>
      <w:pPr>
        <w:pStyle w:val="Heading1"/>
      </w:pPr>
      <w:r>
        <w:t>Research questions 4 to 6</w:t>
      </w:r>
    </w:p>
    <w:p>
      <w:pPr>
        <w:pStyle w:val="Heading2"/>
      </w:pPr>
      <w:r>
        <w:t>RQ4 Under what conditions does the combined assistant improve verified voltage outcomes compared with deterministic controllers and relevant published methods?</w:t>
      </w:r>
    </w:p>
    <w:p>
      <w:r>
        <w:t>Evidence: All four original 118-bus matched endpoints independently closed; all 500 public 13-bus numerical and published-policy comparison completed under its own contract.</w:t>
      </w:r>
    </w:p>
    <w:p>
      <w:r>
        <w:t>Finding and limit: HG-VF 26 versus DFF 51 residualUV,3 wins and 1 loss. Offline HG-SE 20 UV. Public 13-bus numerical 264/500 whole-band versus published DDPG 363/500. Two 118-bus cases add strict OV and intervention costs differ; none of these four 118-bus cases achieves whole-band restoration. Published 13-bus policies have different native information/stopping.</w:t>
      </w:r>
    </w:p>
    <w:p>
      <w:r>
        <w:t>Likely examiner question: Can you claim your model beats all methods? No. State the scoped UV gain, failed fixed gate and public adverse result, with full costs of both branches.</w:t>
      </w:r>
    </w:p>
    <w:p>
      <w:pPr>
        <w:pStyle w:val="Heading2"/>
      </w:pPr>
      <w:r>
        <w:t>RQ5 What part of an observed improvement can be attributed to the language model, and how does that contribution change with model size and computational cost?</w:t>
      </w:r>
    </w:p>
    <w:p>
      <w:r>
        <w:t>Evidence: Matched adapted public 0.5B/1.5B final-checkpoint study with complete checkpoints and exact reload outputs; action-origin counts in original 118-bus cases.</w:t>
      </w:r>
    </w:p>
    <w:p>
      <w:r>
        <w:t>Finding and limit: Teacher-action agreement improves 41.6667% to 53.125%, but numeric 72.9167% remains stronger. Fixed scale gate fails; the 3B partial result and 7B memory failure retained. Teacher imitation is not a physical control advantage. Numerical D-SE, architecture/pretraining controls and unused confirmation remain open.</w:t>
      </w:r>
    </w:p>
    <w:p>
      <w:r>
        <w:t>Likely examiner question: What improvement is specifically caused by language pretraining? Current evidence does not isolate it; direct proposals and whole-system gains are not that ablation.</w:t>
      </w:r>
    </w:p>
    <w:p>
      <w:pPr>
        <w:pStyle w:val="Heading2"/>
      </w:pPr>
      <w:r>
        <w:t>RQ6 How do adversarial inputs affect the knowledge and control interfaces, and which evaluated checks prevent unsupported answers or unacceptable actions?</w:t>
      </w:r>
    </w:p>
    <w:p>
      <w:r>
        <w:t>Evidence: Manuscript 200-case language stress suite, including 28 impossible-metadata and 25 out-of-scope requests; later 24-trial, 96-proposal development pilot.</w:t>
      </w:r>
    </w:p>
    <w:p>
      <w:r>
        <w:t>Finding and limit: Reported failure rates 89.3% for impossible metadata and 36% for out-of-scope requests expose concrete weaknesses. Native voltage checks reject specified adverse candidates. No comprehensive physical cyber-resilience result. A consistent PF solve on corrupted observations is not evidence that the observations are true.</w:t>
      </w:r>
    </w:p>
    <w:p>
      <w:r>
        <w:t>Likely examiner question: Why is security in the title? Explain the current evaluated scope and either complete the bounded physical study or narrow the final claim with supervisor agreement.</w:t>
      </w:r>
    </w:p>
    <w:p>
      <w:r>
        <w:br w:type="page"/>
      </w:r>
    </w:p>
    <w:p>
      <w:pPr>
        <w:pStyle w:val="Heading1"/>
      </w:pPr>
      <w:r>
        <w:t>Thesis closure priorities 1 to 18</w:t>
      </w:r>
    </w:p>
    <w:p>
      <w:r>
        <w:t>Every item remains visible. Evidence recovery and writing share many of the same records; none currently justifies an idle GPU allocation. A complete document task does not imply a completed research goal.</w:t>
      </w:r>
    </w:p>
    <w:tbl>
      <w:tblPr>
        <w:tblStyle w:val="TableGrid"/>
        <w:tblW w:type="auto" w:w="0"/>
        <w:tblLayout w:type="fixed"/>
        <w:tblLook w:firstColumn="1" w:firstRow="1" w:lastColumn="0" w:lastRow="0" w:noHBand="0" w:noVBand="1" w:val="04A0"/>
      </w:tblPr>
      <w:tblGrid>
        <w:gridCol w:w="794"/>
        <w:gridCol w:w="6236"/>
        <w:gridCol w:w="2268"/>
      </w:tblGrid>
      <w:tr>
        <w:trPr>
          <w:cantSplit/>
          <w:tblHeader/>
        </w:trPr>
        <w:tc>
          <w:tcPr>
            <w:tcW w:type="dxa" w:w="794"/>
          </w:tcPr>
          <w:p>
            <w:pPr>
              <w:spacing w:after="80" w:line="240" w:lineRule="auto"/>
            </w:pPr>
            <w:r>
              <w:rPr>
                <w:b/>
                <w:sz w:val="21"/>
              </w:rPr>
              <w:t>ID</w:t>
            </w:r>
          </w:p>
        </w:tc>
        <w:tc>
          <w:tcPr>
            <w:tcW w:type="dxa" w:w="6236"/>
          </w:tcPr>
          <w:p>
            <w:pPr>
              <w:spacing w:after="80" w:line="240" w:lineRule="auto"/>
            </w:pPr>
            <w:r>
              <w:rPr>
                <w:b/>
                <w:sz w:val="21"/>
              </w:rPr>
              <w:t>Requirement</w:t>
            </w:r>
          </w:p>
        </w:tc>
        <w:tc>
          <w:tcPr>
            <w:tcW w:type="dxa" w:w="2268"/>
          </w:tcPr>
          <w:p>
            <w:pPr>
              <w:spacing w:after="80" w:line="240" w:lineRule="auto"/>
            </w:pPr>
            <w:r>
              <w:rPr>
                <w:b/>
                <w:sz w:val="21"/>
              </w:rPr>
              <w:t>Work needed</w:t>
            </w:r>
          </w:p>
        </w:tc>
      </w:tr>
      <w:tr>
        <w:trPr>
          <w:cantSplit/>
        </w:trPr>
        <w:tc>
          <w:tcPr>
            <w:tcW w:type="dxa" w:w="794"/>
          </w:tcPr>
          <w:p>
            <w:pPr>
              <w:spacing w:after="80" w:line="240" w:lineRule="auto"/>
            </w:pPr>
            <w:r>
              <w:rPr>
                <w:b w:val="0"/>
                <w:sz w:val="21"/>
              </w:rPr>
              <w:t>T01</w:t>
            </w:r>
          </w:p>
        </w:tc>
        <w:tc>
          <w:tcPr>
            <w:tcW w:type="dxa" w:w="6236"/>
          </w:tcPr>
          <w:p>
            <w:pPr>
              <w:spacing w:after="80" w:line="240" w:lineRule="auto"/>
            </w:pPr>
            <w:r>
              <w:rPr>
                <w:b w:val="0"/>
                <w:sz w:val="21"/>
              </w:rPr>
              <w:t>Align the thesis title with completed cybersecurity evidence</w:t>
            </w:r>
          </w:p>
        </w:tc>
        <w:tc>
          <w:tcPr>
            <w:tcW w:type="dxa" w:w="2268"/>
          </w:tcPr>
          <w:p>
            <w:pPr>
              <w:spacing w:after="80" w:line="240" w:lineRule="auto"/>
            </w:pPr>
            <w:r>
              <w:rPr>
                <w:b w:val="0"/>
                <w:sz w:val="21"/>
              </w:rPr>
              <w:t>Final decision</w:t>
            </w:r>
          </w:p>
        </w:tc>
      </w:tr>
      <w:tr>
        <w:trPr>
          <w:cantSplit/>
        </w:trPr>
        <w:tc>
          <w:tcPr>
            <w:tcW w:type="dxa" w:w="794"/>
          </w:tcPr>
          <w:p>
            <w:pPr>
              <w:spacing w:after="80" w:line="240" w:lineRule="auto"/>
            </w:pPr>
            <w:r>
              <w:rPr>
                <w:b w:val="0"/>
                <w:sz w:val="21"/>
              </w:rPr>
              <w:t>T02</w:t>
            </w:r>
          </w:p>
        </w:tc>
        <w:tc>
          <w:tcPr>
            <w:tcW w:type="dxa" w:w="6236"/>
          </w:tcPr>
          <w:p>
            <w:pPr>
              <w:spacing w:after="80" w:line="240" w:lineRule="auto"/>
            </w:pPr>
            <w:r>
              <w:rPr>
                <w:b w:val="0"/>
                <w:sz w:val="21"/>
              </w:rPr>
              <w:t>Complete a bounded cybersecurity experiment</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T03</w:t>
            </w:r>
          </w:p>
        </w:tc>
        <w:tc>
          <w:tcPr>
            <w:tcW w:type="dxa" w:w="6236"/>
          </w:tcPr>
          <w:p>
            <w:pPr>
              <w:spacing w:after="80" w:line="240" w:lineRule="auto"/>
            </w:pPr>
            <w:r>
              <w:rPr>
                <w:b w:val="0"/>
                <w:sz w:val="21"/>
              </w:rPr>
              <w:t>Distinguish offline HG-SE selection from online control</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T04</w:t>
            </w:r>
          </w:p>
        </w:tc>
        <w:tc>
          <w:tcPr>
            <w:tcW w:type="dxa" w:w="6236"/>
          </w:tcPr>
          <w:p>
            <w:pPr>
              <w:spacing w:after="80" w:line="240" w:lineRule="auto"/>
            </w:pPr>
            <w:r>
              <w:rPr>
                <w:b w:val="0"/>
                <w:sz w:val="21"/>
              </w:rPr>
              <w:t>Reconstruct the final 137-scenario evidence</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T05</w:t>
            </w:r>
          </w:p>
        </w:tc>
        <w:tc>
          <w:tcPr>
            <w:tcW w:type="dxa" w:w="6236"/>
          </w:tcPr>
          <w:p>
            <w:pPr>
              <w:spacing w:after="80" w:line="240" w:lineRule="auto"/>
            </w:pPr>
            <w:r>
              <w:rPr>
                <w:b w:val="0"/>
                <w:sz w:val="21"/>
              </w:rPr>
              <w:t>Isolate the LLM's actual contribution</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T06</w:t>
            </w:r>
          </w:p>
        </w:tc>
        <w:tc>
          <w:tcPr>
            <w:tcW w:type="dxa" w:w="6236"/>
          </w:tcPr>
          <w:p>
            <w:pPr>
              <w:spacing w:after="80" w:line="240" w:lineRule="auto"/>
            </w:pPr>
            <w:r>
              <w:rPr>
                <w:b w:val="0"/>
                <w:sz w:val="21"/>
              </w:rPr>
              <w:t>Compare HG-SE with a strong numerical-only envelope</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T07</w:t>
            </w:r>
          </w:p>
        </w:tc>
        <w:tc>
          <w:tcPr>
            <w:tcW w:type="dxa" w:w="6236"/>
          </w:tcPr>
          <w:p>
            <w:pPr>
              <w:spacing w:after="80" w:line="240" w:lineRule="auto"/>
            </w:pPr>
            <w:r>
              <w:rPr>
                <w:b w:val="0"/>
                <w:sz w:val="21"/>
              </w:rPr>
              <w:t>Resolve the two incomplete severe-root runs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T08</w:t>
            </w:r>
          </w:p>
        </w:tc>
        <w:tc>
          <w:tcPr>
            <w:tcW w:type="dxa" w:w="6236"/>
          </w:tcPr>
          <w:p>
            <w:pPr>
              <w:spacing w:after="80" w:line="240" w:lineRule="auto"/>
            </w:pPr>
            <w:r>
              <w:rPr>
                <w:b w:val="0"/>
                <w:sz w:val="21"/>
              </w:rPr>
              <w:t>Reconcile 1.05 versus 1.06 p.u. thresholds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T09</w:t>
            </w:r>
          </w:p>
        </w:tc>
        <w:tc>
          <w:tcPr>
            <w:tcW w:type="dxa" w:w="6236"/>
          </w:tcPr>
          <w:p>
            <w:pPr>
              <w:spacing w:after="80" w:line="240" w:lineRule="auto"/>
            </w:pPr>
            <w:r>
              <w:rPr>
                <w:b w:val="0"/>
                <w:sz w:val="21"/>
              </w:rPr>
              <w:t>Account for full experimental resource costs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T10</w:t>
            </w:r>
          </w:p>
        </w:tc>
        <w:tc>
          <w:tcPr>
            <w:tcW w:type="dxa" w:w="6236"/>
          </w:tcPr>
          <w:p>
            <w:pPr>
              <w:spacing w:after="80" w:line="240" w:lineRule="auto"/>
            </w:pPr>
            <w:r>
              <w:rPr>
                <w:b w:val="0"/>
                <w:sz w:val="21"/>
              </w:rPr>
              <w:t>Close all six research questions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T11</w:t>
            </w:r>
          </w:p>
        </w:tc>
        <w:tc>
          <w:tcPr>
            <w:tcW w:type="dxa" w:w="6236"/>
          </w:tcPr>
          <w:p>
            <w:pPr>
              <w:spacing w:after="80" w:line="240" w:lineRule="auto"/>
            </w:pPr>
            <w:r>
              <w:rPr>
                <w:b w:val="0"/>
                <w:sz w:val="21"/>
              </w:rPr>
              <w:t>Freeze the RAG evaluation contract</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T12</w:t>
            </w:r>
          </w:p>
        </w:tc>
        <w:tc>
          <w:tcPr>
            <w:tcW w:type="dxa" w:w="6236"/>
          </w:tcPr>
          <w:p>
            <w:pPr>
              <w:spacing w:after="80" w:line="240" w:lineRule="auto"/>
            </w:pPr>
            <w:r>
              <w:rPr>
                <w:b w:val="0"/>
                <w:sz w:val="21"/>
              </w:rPr>
              <w:t>Address fabricated metadata and unreliable refusals</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T13</w:t>
            </w:r>
          </w:p>
        </w:tc>
        <w:tc>
          <w:tcPr>
            <w:tcW w:type="dxa" w:w="6236"/>
          </w:tcPr>
          <w:p>
            <w:pPr>
              <w:spacing w:after="80" w:line="240" w:lineRule="auto"/>
            </w:pPr>
            <w:r>
              <w:rPr>
                <w:b w:val="0"/>
                <w:sz w:val="21"/>
              </w:rPr>
              <w:t>Strengthen PowerGridQA lineage and leakage checks</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T14</w:t>
            </w:r>
          </w:p>
        </w:tc>
        <w:tc>
          <w:tcPr>
            <w:tcW w:type="dxa" w:w="6236"/>
          </w:tcPr>
          <w:p>
            <w:pPr>
              <w:spacing w:after="80" w:line="240" w:lineRule="auto"/>
            </w:pPr>
            <w:r>
              <w:rPr>
                <w:b w:val="0"/>
                <w:sz w:val="21"/>
              </w:rPr>
              <w:t>Run or document a matched RAG ablation</w:t>
            </w:r>
          </w:p>
        </w:tc>
        <w:tc>
          <w:tcPr>
            <w:tcW w:type="dxa" w:w="2268"/>
          </w:tcPr>
          <w:p>
            <w:pPr>
              <w:spacing w:after="80" w:line="240" w:lineRule="auto"/>
            </w:pPr>
            <w:r>
              <w:rPr>
                <w:b w:val="0"/>
                <w:sz w:val="21"/>
              </w:rPr>
              <w:t>Evidence gate</w:t>
            </w:r>
          </w:p>
        </w:tc>
      </w:tr>
      <w:tr>
        <w:trPr>
          <w:cantSplit/>
        </w:trPr>
        <w:tc>
          <w:tcPr>
            <w:tcW w:type="dxa" w:w="794"/>
          </w:tcPr>
          <w:p>
            <w:pPr>
              <w:spacing w:after="80" w:line="240" w:lineRule="auto"/>
            </w:pPr>
            <w:r>
              <w:rPr>
                <w:b w:val="0"/>
                <w:sz w:val="21"/>
              </w:rPr>
              <w:t>T15</w:t>
            </w:r>
          </w:p>
        </w:tc>
        <w:tc>
          <w:tcPr>
            <w:tcW w:type="dxa" w:w="6236"/>
          </w:tcPr>
          <w:p>
            <w:pPr>
              <w:spacing w:after="80" w:line="240" w:lineRule="auto"/>
            </w:pPr>
            <w:r>
              <w:rPr>
                <w:b w:val="0"/>
                <w:sz w:val="21"/>
              </w:rPr>
              <w:t>Separate raw LLM actions from repaired and fallback actions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T16</w:t>
            </w:r>
          </w:p>
        </w:tc>
        <w:tc>
          <w:tcPr>
            <w:tcW w:type="dxa" w:w="6236"/>
          </w:tcPr>
          <w:p>
            <w:pPr>
              <w:spacing w:after="80" w:line="240" w:lineRule="auto"/>
            </w:pPr>
            <w:r>
              <w:rPr>
                <w:b w:val="0"/>
                <w:sz w:val="21"/>
              </w:rPr>
              <w:t>Document training-world independence</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T17</w:t>
            </w:r>
          </w:p>
        </w:tc>
        <w:tc>
          <w:tcPr>
            <w:tcW w:type="dxa" w:w="6236"/>
          </w:tcPr>
          <w:p>
            <w:pPr>
              <w:spacing w:after="80" w:line="240" w:lineRule="auto"/>
            </w:pPr>
            <w:r>
              <w:rPr>
                <w:b w:val="0"/>
                <w:sz w:val="21"/>
              </w:rPr>
              <w:t>Diagnose the public 13-bus benchmark failures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T18</w:t>
            </w:r>
          </w:p>
        </w:tc>
        <w:tc>
          <w:tcPr>
            <w:tcW w:type="dxa" w:w="6236"/>
          </w:tcPr>
          <w:p>
            <w:pPr>
              <w:spacing w:after="80" w:line="240" w:lineRule="auto"/>
            </w:pPr>
            <w:r>
              <w:rPr>
                <w:b w:val="0"/>
                <w:sz w:val="21"/>
              </w:rPr>
              <w:t>Define the exact extent of physics verification</w:t>
            </w:r>
          </w:p>
        </w:tc>
        <w:tc>
          <w:tcPr>
            <w:tcW w:type="dxa" w:w="2268"/>
          </w:tcPr>
          <w:p>
            <w:pPr>
              <w:spacing w:after="80" w:line="240" w:lineRule="auto"/>
            </w:pPr>
            <w:r>
              <w:rPr>
                <w:b w:val="0"/>
                <w:sz w:val="21"/>
              </w:rPr>
              <w:t>Integrate evidence</w:t>
            </w:r>
          </w:p>
        </w:tc>
      </w:tr>
    </w:tbl>
    <w:p>
      <w:r>
        <w:t>T07 now has complete audited endpoints and updated Chapter 7 source. T02 needs physical testing only if a physical cyber-resilience claim is retained. T05/T06 remain necessary for the main causal LLM goal.</w:t>
      </w:r>
    </w:p>
    <w:p>
      <w:r>
        <w:br w:type="page"/>
      </w:r>
    </w:p>
    <w:p>
      <w:pPr>
        <w:pStyle w:val="Heading1"/>
      </w:pPr>
      <w:r>
        <w:t>Thesis closure priorities 19 to 35</w:t>
      </w:r>
    </w:p>
    <w:p>
      <w:r>
        <w:t>Every item remains visible. Evidence recovery and writing share many of the same records; none currently justifies an idle GPU allocation. A complete document task does not imply a completed research goal.</w:t>
      </w:r>
    </w:p>
    <w:tbl>
      <w:tblPr>
        <w:tblStyle w:val="TableGrid"/>
        <w:tblW w:type="auto" w:w="0"/>
        <w:tblLayout w:type="fixed"/>
        <w:tblLook w:firstColumn="1" w:firstRow="1" w:lastColumn="0" w:lastRow="0" w:noHBand="0" w:noVBand="1" w:val="04A0"/>
      </w:tblPr>
      <w:tblGrid>
        <w:gridCol w:w="794"/>
        <w:gridCol w:w="6236"/>
        <w:gridCol w:w="2268"/>
      </w:tblGrid>
      <w:tr>
        <w:trPr>
          <w:cantSplit/>
          <w:tblHeader/>
        </w:trPr>
        <w:tc>
          <w:tcPr>
            <w:tcW w:type="dxa" w:w="794"/>
          </w:tcPr>
          <w:p>
            <w:pPr>
              <w:spacing w:after="80" w:line="240" w:lineRule="auto"/>
            </w:pPr>
            <w:r>
              <w:rPr>
                <w:b/>
                <w:sz w:val="21"/>
              </w:rPr>
              <w:t>ID</w:t>
            </w:r>
          </w:p>
        </w:tc>
        <w:tc>
          <w:tcPr>
            <w:tcW w:type="dxa" w:w="6236"/>
          </w:tcPr>
          <w:p>
            <w:pPr>
              <w:spacing w:after="80" w:line="240" w:lineRule="auto"/>
            </w:pPr>
            <w:r>
              <w:rPr>
                <w:b/>
                <w:sz w:val="21"/>
              </w:rPr>
              <w:t>Requirement</w:t>
            </w:r>
          </w:p>
        </w:tc>
        <w:tc>
          <w:tcPr>
            <w:tcW w:type="dxa" w:w="2268"/>
          </w:tcPr>
          <w:p>
            <w:pPr>
              <w:spacing w:after="80" w:line="240" w:lineRule="auto"/>
            </w:pPr>
            <w:r>
              <w:rPr>
                <w:b/>
                <w:sz w:val="21"/>
              </w:rPr>
              <w:t>Work needed</w:t>
            </w:r>
          </w:p>
        </w:tc>
      </w:tr>
      <w:tr>
        <w:trPr>
          <w:cantSplit/>
        </w:trPr>
        <w:tc>
          <w:tcPr>
            <w:tcW w:type="dxa" w:w="794"/>
          </w:tcPr>
          <w:p>
            <w:pPr>
              <w:spacing w:after="80" w:line="240" w:lineRule="auto"/>
            </w:pPr>
            <w:r>
              <w:rPr>
                <w:b w:val="0"/>
                <w:sz w:val="21"/>
              </w:rPr>
              <w:t>T19</w:t>
            </w:r>
          </w:p>
        </w:tc>
        <w:tc>
          <w:tcPr>
            <w:tcW w:type="dxa" w:w="6236"/>
          </w:tcPr>
          <w:p>
            <w:pPr>
              <w:spacing w:after="80" w:line="240" w:lineRule="auto"/>
            </w:pPr>
            <w:r>
              <w:rPr>
                <w:b w:val="0"/>
                <w:sz w:val="21"/>
              </w:rPr>
              <w:t>Keep experimental environments separate</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T20</w:t>
            </w:r>
          </w:p>
        </w:tc>
        <w:tc>
          <w:tcPr>
            <w:tcW w:type="dxa" w:w="6236"/>
          </w:tcPr>
          <w:p>
            <w:pPr>
              <w:spacing w:after="80" w:line="240" w:lineRule="auto"/>
            </w:pPr>
            <w:r>
              <w:rPr>
                <w:b w:val="0"/>
                <w:sz w:val="21"/>
              </w:rPr>
              <w:t>Bind every method description to executed source</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T21</w:t>
            </w:r>
          </w:p>
        </w:tc>
        <w:tc>
          <w:tcPr>
            <w:tcW w:type="dxa" w:w="6236"/>
          </w:tcPr>
          <w:p>
            <w:pPr>
              <w:spacing w:after="80" w:line="240" w:lineRule="auto"/>
            </w:pPr>
            <w:r>
              <w:rPr>
                <w:b w:val="0"/>
                <w:sz w:val="21"/>
              </w:rPr>
              <w:t>Separate development cases from genuine confirmation</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T22</w:t>
            </w:r>
          </w:p>
        </w:tc>
        <w:tc>
          <w:tcPr>
            <w:tcW w:type="dxa" w:w="6236"/>
          </w:tcPr>
          <w:p>
            <w:pPr>
              <w:spacing w:after="80" w:line="240" w:lineRule="auto"/>
            </w:pPr>
            <w:r>
              <w:rPr>
                <w:b w:val="0"/>
                <w:sz w:val="21"/>
              </w:rPr>
              <w:t>Add paired uncertainty and variability analysis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T23</w:t>
            </w:r>
          </w:p>
        </w:tc>
        <w:tc>
          <w:tcPr>
            <w:tcW w:type="dxa" w:w="6236"/>
          </w:tcPr>
          <w:p>
            <w:pPr>
              <w:spacing w:after="80" w:line="240" w:lineRule="auto"/>
            </w:pPr>
            <w:r>
              <w:rPr>
                <w:b w:val="0"/>
                <w:sz w:val="21"/>
              </w:rPr>
              <w:t>Preserve and explain negative model-scale results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T24</w:t>
            </w:r>
          </w:p>
        </w:tc>
        <w:tc>
          <w:tcPr>
            <w:tcW w:type="dxa" w:w="6236"/>
          </w:tcPr>
          <w:p>
            <w:pPr>
              <w:spacing w:after="80" w:line="240" w:lineRule="auto"/>
            </w:pPr>
            <w:r>
              <w:rPr>
                <w:b w:val="0"/>
                <w:sz w:val="21"/>
              </w:rPr>
              <w:t>Identify your individual contributions within coauthored work</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T25</w:t>
            </w:r>
          </w:p>
        </w:tc>
        <w:tc>
          <w:tcPr>
            <w:tcW w:type="dxa" w:w="6236"/>
          </w:tcPr>
          <w:p>
            <w:pPr>
              <w:spacing w:after="80" w:line="240" w:lineRule="auto"/>
            </w:pPr>
            <w:r>
              <w:rPr>
                <w:b w:val="0"/>
                <w:sz w:val="21"/>
              </w:rPr>
              <w:t>Update closest competing literature and novelty positioning</w:t>
            </w:r>
          </w:p>
        </w:tc>
        <w:tc>
          <w:tcPr>
            <w:tcW w:type="dxa" w:w="2268"/>
          </w:tcPr>
          <w:p>
            <w:pPr>
              <w:spacing w:after="80" w:line="240" w:lineRule="auto"/>
            </w:pPr>
            <w:r>
              <w:rPr>
                <w:b w:val="0"/>
                <w:sz w:val="21"/>
              </w:rPr>
              <w:t>Source review</w:t>
            </w:r>
          </w:p>
        </w:tc>
      </w:tr>
      <w:tr>
        <w:trPr>
          <w:cantSplit/>
        </w:trPr>
        <w:tc>
          <w:tcPr>
            <w:tcW w:type="dxa" w:w="794"/>
          </w:tcPr>
          <w:p>
            <w:pPr>
              <w:spacing w:after="80" w:line="240" w:lineRule="auto"/>
            </w:pPr>
            <w:r>
              <w:rPr>
                <w:b w:val="0"/>
                <w:sz w:val="21"/>
              </w:rPr>
              <w:t>T26</w:t>
            </w:r>
          </w:p>
        </w:tc>
        <w:tc>
          <w:tcPr>
            <w:tcW w:type="dxa" w:w="6236"/>
          </w:tcPr>
          <w:p>
            <w:pPr>
              <w:spacing w:after="80" w:line="240" w:lineRule="auto"/>
            </w:pPr>
            <w:r>
              <w:rPr>
                <w:b w:val="0"/>
                <w:sz w:val="21"/>
              </w:rPr>
              <w:t>Make each contribution claim evidence-specific</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T27</w:t>
            </w:r>
          </w:p>
        </w:tc>
        <w:tc>
          <w:tcPr>
            <w:tcW w:type="dxa" w:w="6236"/>
          </w:tcPr>
          <w:p>
            <w:pPr>
              <w:spacing w:after="80" w:line="240" w:lineRule="auto"/>
            </w:pPr>
            <w:r>
              <w:rPr>
                <w:b w:val="0"/>
                <w:sz w:val="21"/>
              </w:rPr>
              <w:t>Complete an examiner-friendly reproducibility index</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T28</w:t>
            </w:r>
          </w:p>
        </w:tc>
        <w:tc>
          <w:tcPr>
            <w:tcW w:type="dxa" w:w="6236"/>
          </w:tcPr>
          <w:p>
            <w:pPr>
              <w:spacing w:after="80" w:line="240" w:lineRule="auto"/>
            </w:pPr>
            <w:r>
              <w:rPr>
                <w:b w:val="0"/>
                <w:sz w:val="21"/>
              </w:rPr>
              <w:t>Standardize references and manuscript status</w:t>
            </w:r>
          </w:p>
        </w:tc>
        <w:tc>
          <w:tcPr>
            <w:tcW w:type="dxa" w:w="2268"/>
          </w:tcPr>
          <w:p>
            <w:pPr>
              <w:spacing w:after="80" w:line="240" w:lineRule="auto"/>
            </w:pPr>
            <w:r>
              <w:rPr>
                <w:b w:val="0"/>
                <w:sz w:val="21"/>
              </w:rPr>
              <w:t>Source review</w:t>
            </w:r>
          </w:p>
        </w:tc>
      </w:tr>
      <w:tr>
        <w:trPr>
          <w:cantSplit/>
        </w:trPr>
        <w:tc>
          <w:tcPr>
            <w:tcW w:type="dxa" w:w="794"/>
          </w:tcPr>
          <w:p>
            <w:pPr>
              <w:spacing w:after="80" w:line="240" w:lineRule="auto"/>
            </w:pPr>
            <w:r>
              <w:rPr>
                <w:b w:val="0"/>
                <w:sz w:val="21"/>
              </w:rPr>
              <w:t>T29</w:t>
            </w:r>
          </w:p>
        </w:tc>
        <w:tc>
          <w:tcPr>
            <w:tcW w:type="dxa" w:w="6236"/>
          </w:tcPr>
          <w:p>
            <w:pPr>
              <w:spacing w:after="80" w:line="240" w:lineRule="auto"/>
            </w:pPr>
            <w:r>
              <w:rPr>
                <w:b w:val="0"/>
                <w:sz w:val="21"/>
              </w:rPr>
              <w:t>Complete QU-compliant thesis front matter</w:t>
            </w:r>
          </w:p>
        </w:tc>
        <w:tc>
          <w:tcPr>
            <w:tcW w:type="dxa" w:w="2268"/>
          </w:tcPr>
          <w:p>
            <w:pPr>
              <w:spacing w:after="80" w:line="240" w:lineRule="auto"/>
            </w:pPr>
            <w:r>
              <w:rPr>
                <w:b w:val="0"/>
                <w:sz w:val="21"/>
              </w:rPr>
              <w:t>Final decision</w:t>
            </w:r>
          </w:p>
        </w:tc>
      </w:tr>
      <w:tr>
        <w:trPr>
          <w:cantSplit/>
        </w:trPr>
        <w:tc>
          <w:tcPr>
            <w:tcW w:type="dxa" w:w="794"/>
          </w:tcPr>
          <w:p>
            <w:pPr>
              <w:spacing w:after="80" w:line="240" w:lineRule="auto"/>
            </w:pPr>
            <w:r>
              <w:rPr>
                <w:b w:val="0"/>
                <w:sz w:val="21"/>
              </w:rPr>
              <w:t>T30</w:t>
            </w:r>
          </w:p>
        </w:tc>
        <w:tc>
          <w:tcPr>
            <w:tcW w:type="dxa" w:w="6236"/>
          </w:tcPr>
          <w:p>
            <w:pPr>
              <w:spacing w:after="80" w:line="240" w:lineRule="auto"/>
            </w:pPr>
            <w:r>
              <w:rPr>
                <w:b w:val="0"/>
                <w:sz w:val="21"/>
              </w:rPr>
              <w:t>Rewrite the abstract using final research findings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T31</w:t>
            </w:r>
          </w:p>
        </w:tc>
        <w:tc>
          <w:tcPr>
            <w:tcW w:type="dxa" w:w="6236"/>
          </w:tcPr>
          <w:p>
            <w:pPr>
              <w:spacing w:after="80" w:line="240" w:lineRule="auto"/>
            </w:pPr>
            <w:r>
              <w:rPr>
                <w:b w:val="0"/>
                <w:sz w:val="21"/>
              </w:rPr>
              <w:t>Improve the literature comparison table</w:t>
            </w:r>
          </w:p>
        </w:tc>
        <w:tc>
          <w:tcPr>
            <w:tcW w:type="dxa" w:w="2268"/>
          </w:tcPr>
          <w:p>
            <w:pPr>
              <w:spacing w:after="80" w:line="240" w:lineRule="auto"/>
            </w:pPr>
            <w:r>
              <w:rPr>
                <w:b w:val="0"/>
                <w:sz w:val="21"/>
              </w:rPr>
              <w:t>Source review</w:t>
            </w:r>
          </w:p>
        </w:tc>
      </w:tr>
      <w:tr>
        <w:trPr>
          <w:cantSplit/>
        </w:trPr>
        <w:tc>
          <w:tcPr>
            <w:tcW w:type="dxa" w:w="794"/>
          </w:tcPr>
          <w:p>
            <w:pPr>
              <w:spacing w:after="80" w:line="240" w:lineRule="auto"/>
            </w:pPr>
            <w:r>
              <w:rPr>
                <w:b w:val="0"/>
                <w:sz w:val="21"/>
              </w:rPr>
              <w:t>T32</w:t>
            </w:r>
          </w:p>
        </w:tc>
        <w:tc>
          <w:tcPr>
            <w:tcW w:type="dxa" w:w="6236"/>
          </w:tcPr>
          <w:p>
            <w:pPr>
              <w:spacing w:after="80" w:line="240" w:lineRule="auto"/>
            </w:pPr>
            <w:r>
              <w:rPr>
                <w:b w:val="0"/>
                <w:sz w:val="21"/>
              </w:rPr>
              <w:t>Improve figures and table captions</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T33</w:t>
            </w:r>
          </w:p>
        </w:tc>
        <w:tc>
          <w:tcPr>
            <w:tcW w:type="dxa" w:w="6236"/>
          </w:tcPr>
          <w:p>
            <w:pPr>
              <w:spacing w:after="80" w:line="240" w:lineRule="auto"/>
            </w:pPr>
            <w:r>
              <w:rPr>
                <w:b w:val="0"/>
                <w:sz w:val="21"/>
              </w:rPr>
              <w:t>Correct remaining formatting and terminology</w:t>
            </w:r>
          </w:p>
        </w:tc>
        <w:tc>
          <w:tcPr>
            <w:tcW w:type="dxa" w:w="2268"/>
          </w:tcPr>
          <w:p>
            <w:pPr>
              <w:spacing w:after="80" w:line="240" w:lineRule="auto"/>
            </w:pPr>
            <w:r>
              <w:rPr>
                <w:b w:val="0"/>
                <w:sz w:val="21"/>
              </w:rPr>
              <w:t>Integrate evidence</w:t>
            </w:r>
          </w:p>
        </w:tc>
      </w:tr>
      <w:tr>
        <w:trPr>
          <w:cantSplit/>
        </w:trPr>
        <w:tc>
          <w:tcPr>
            <w:tcW w:type="dxa" w:w="794"/>
          </w:tcPr>
          <w:p>
            <w:pPr>
              <w:spacing w:after="80" w:line="240" w:lineRule="auto"/>
            </w:pPr>
            <w:r>
              <w:rPr>
                <w:b w:val="0"/>
                <w:sz w:val="21"/>
              </w:rPr>
              <w:t>T34</w:t>
            </w:r>
          </w:p>
        </w:tc>
        <w:tc>
          <w:tcPr>
            <w:tcW w:type="dxa" w:w="6236"/>
          </w:tcPr>
          <w:p>
            <w:pPr>
              <w:spacing w:after="80" w:line="240" w:lineRule="auto"/>
            </w:pPr>
            <w:r>
              <w:rPr>
                <w:b w:val="0"/>
                <w:sz w:val="21"/>
              </w:rPr>
              <w:t>Remove internal finalisation instructions from the submitted thesis</w:t>
            </w:r>
          </w:p>
        </w:tc>
        <w:tc>
          <w:tcPr>
            <w:tcW w:type="dxa" w:w="2268"/>
          </w:tcPr>
          <w:p>
            <w:pPr>
              <w:spacing w:after="80" w:line="240" w:lineRule="auto"/>
            </w:pPr>
            <w:r>
              <w:rPr>
                <w:b w:val="0"/>
                <w:sz w:val="21"/>
              </w:rPr>
              <w:t>Final decision</w:t>
            </w:r>
          </w:p>
        </w:tc>
      </w:tr>
      <w:tr>
        <w:trPr>
          <w:cantSplit/>
        </w:trPr>
        <w:tc>
          <w:tcPr>
            <w:tcW w:type="dxa" w:w="794"/>
          </w:tcPr>
          <w:p>
            <w:pPr>
              <w:spacing w:after="80" w:line="240" w:lineRule="auto"/>
            </w:pPr>
            <w:r>
              <w:rPr>
                <w:b w:val="0"/>
                <w:sz w:val="21"/>
              </w:rPr>
              <w:t>T35</w:t>
            </w:r>
          </w:p>
        </w:tc>
        <w:tc>
          <w:tcPr>
            <w:tcW w:type="dxa" w:w="6236"/>
          </w:tcPr>
          <w:p>
            <w:pPr>
              <w:spacing w:after="80" w:line="240" w:lineRule="auto"/>
            </w:pPr>
            <w:r>
              <w:rPr>
                <w:b w:val="0"/>
                <w:sz w:val="21"/>
              </w:rPr>
              <w:t>Prepare a defence-ready evidence summary</w:t>
            </w:r>
          </w:p>
        </w:tc>
        <w:tc>
          <w:tcPr>
            <w:tcW w:type="dxa" w:w="2268"/>
          </w:tcPr>
          <w:p>
            <w:pPr>
              <w:spacing w:after="80" w:line="240" w:lineRule="auto"/>
            </w:pPr>
            <w:r>
              <w:rPr>
                <w:b w:val="0"/>
                <w:sz w:val="21"/>
              </w:rPr>
              <w:t>Integrate evidence</w:t>
            </w:r>
          </w:p>
        </w:tc>
      </w:tr>
    </w:tbl>
    <w:p>
      <w:r>
        <w:t>T22 has complete descriptive four-root effects. The six-RQ defence record answers each question at its actual evidence level. Final committee details and approvals must come from the university or supervisor.</w:t>
      </w:r>
    </w:p>
    <w:p>
      <w:r>
        <w:br w:type="page"/>
      </w:r>
    </w:p>
    <w:p>
      <w:pPr>
        <w:pStyle w:val="Heading1"/>
      </w:pPr>
      <w:r>
        <w:t>Evidence map and next work</w:t>
      </w:r>
    </w:p>
    <w:p>
      <w:r>
        <w:t>E1  Four-root original comparison and unchanged gate</w:t>
      </w:r>
    </w:p>
    <w:p>
      <w:r>
        <w:t>outputs/original118_closed_comparison_20261028/Comparison.json</w:t>
      </w:r>
    </w:p>
    <w:p>
      <w:r>
        <w:t>E2  Full source-specific cost blocks</w:t>
      </w:r>
    </w:p>
    <w:p>
      <w:r>
        <w:t>outputs/original118_closed_comparison_20261028/Full_Cost_Source_Blocks.json</w:t>
      </w:r>
    </w:p>
    <w:p>
      <w:r>
        <w:t>E3  Closed suffix audit and ownership checkpoint</w:t>
      </w:r>
    </w:p>
    <w:p>
      <w:r>
        <w:t>outputs/original118_comparison_completion_20261028/Verified_Completion.json</w:t>
      </w:r>
    </w:p>
    <w:p>
      <w:r>
        <w:t>E4  Recovered RAG recipe and historical 500-record contract</w:t>
      </w:r>
    </w:p>
    <w:p>
      <w:r>
        <w:t>outputs/rag_evaluation_contract_recovery_20261028/Recovered_Evaluation_Contract.json</w:t>
      </w:r>
    </w:p>
    <w:p>
      <w:r>
        <w:t>E5  Matched 0.5B/1.5B complete audited scale result</w:t>
      </w:r>
    </w:p>
    <w:p>
      <w:r>
        <w:t>outputs/matched_scale_20261011/verified_completion_handoff_20261012/Verified_Matched_Scale_Completion.json</w:t>
      </w:r>
    </w:p>
    <w:p>
      <w:r>
        <w:t>E6  Public 13-bus matched 500-case numerical and published comparison</w:t>
      </w:r>
    </w:p>
    <w:p>
      <w:r>
        <w:t>outputs/public13_matched_numeric_comparison_20261021/Matched_Comparison_And_Fixed_Decision.json</w:t>
      </w:r>
    </w:p>
    <w:p>
      <w:r>
        <w:t>E7  Original verifier selector and candidate contribution source record</w:t>
      </w:r>
    </w:p>
    <w:p>
      <w:r>
        <w:t>outputs/thesis_research_closure_20261028/Contribution_And_Verifier_Source_Record.json</w:t>
      </w:r>
    </w:p>
    <w:p>
      <w:r>
        <w:t>E8  Published and supplied manuscript identity record</w:t>
      </w:r>
    </w:p>
    <w:p>
      <w:r>
        <w:t>outputs/thesis_expanded_20261028/Thesis_Source_and_Claim_Record.json</w:t>
      </w:r>
    </w:p>
    <w:p>
      <w:r>
        <w:t>The accompanying Evidence_Index.json pins exact source hashes. The four-root comparison is new verified development evidence; the reported 137-scenario paper figures and RAG 99% claim remain subject to their separate historical reconstruction gaps.</w:t>
      </w:r>
    </w:p>
    <w:p>
      <w:r>
        <w:t>Next work: integrate these source revisions into the full thesis and check its layout, recover unresolved historical data/evaluation contracts, and finish faithful external 118-bus controller admission before a new physical benchmark. New model training needs a separately justified mechanism and prospective gates. No old experiment is restarted to improve an adverse score.</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results and thesis defence evidence</dc:title>
  <dc:subject/>
  <dc:creator>Abdul Hannaan</dc:creator>
  <cp:keywords/>
  <dc:description>generated by python-docx</dc:description>
  <cp:lastModifiedBy/>
  <cp:revision>1</cp:revision>
  <dcterms:created xsi:type="dcterms:W3CDTF">2013-12-23T23:15:00Z</dcterms:created>
  <dcterms:modified xsi:type="dcterms:W3CDTF">2013-12-23T23:15:00Z</dcterms:modified>
  <cp:category/>
</cp:coreProperties>
</file>