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image1.png" ContentType="image/png"/>
  <Override PartName="/word/media/image2.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PhysMove:</w:t>
      </w:r>
      <w:r>
        <w:t xml:space="preserve"> </w:t>
      </w:r>
      <w:r>
        <w:t xml:space="preserve">Introduction</w:t>
      </w:r>
    </w:p>
    <w:p>
      <w:pPr>
        <w:pStyle w:val="Author"/>
      </w:pPr>
      <w:r>
        <w:t xml:space="preserve">Hannah</w:t>
      </w:r>
      <w:r>
        <w:t xml:space="preserve"> </w:t>
      </w:r>
      <w:r>
        <w:t xml:space="preserve">Calich,</w:t>
      </w:r>
      <w:r>
        <w:t xml:space="preserve"> </w:t>
      </w:r>
      <w:r>
        <w:t xml:space="preserve">Jorge</w:t>
      </w:r>
      <w:r>
        <w:t xml:space="preserve"> </w:t>
      </w:r>
      <w:r>
        <w:t xml:space="preserve">Rodríguez,</w:t>
      </w:r>
      <w:r>
        <w:t xml:space="preserve"> </w:t>
      </w:r>
      <w:r>
        <w:t xml:space="preserve">Víctor</w:t>
      </w:r>
      <w:r>
        <w:t xml:space="preserve"> </w:t>
      </w:r>
      <w:r>
        <w:t xml:space="preserve">Eguíluz</w:t>
      </w:r>
      <w:r>
        <w:t xml:space="preserve"> </w:t>
      </w:r>
      <w:r>
        <w:t xml:space="preserve">&amp;</w:t>
      </w:r>
      <w:r>
        <w:t xml:space="preserve"> </w:t>
      </w:r>
      <w:r>
        <w:t xml:space="preserve">Ana</w:t>
      </w:r>
      <w:r>
        <w:t xml:space="preserve"> </w:t>
      </w:r>
      <w:r>
        <w:t xml:space="preserve">Sequeira</w:t>
      </w:r>
    </w:p>
    <w:p>
      <w:pPr>
        <w:pStyle w:val="Date"/>
      </w:pPr>
      <w:r>
        <w:t xml:space="preserve">Last</w:t>
      </w:r>
      <w:r>
        <w:t xml:space="preserve"> </w:t>
      </w:r>
      <w:r>
        <w:t xml:space="preserve">updated:</w:t>
      </w:r>
      <w:r>
        <w:t xml:space="preserve"> </w:t>
      </w:r>
      <w:r>
        <w:t xml:space="preserve">2024-09-02</w:t>
      </w:r>
    </w:p>
    <w:p>
      <w:pPr>
        <w:pStyle w:val="FirstParagraph"/>
      </w:pPr>
      <w:r>
        <w:t xml:space="preserve"> </w:t>
      </w:r>
      <w:r>
        <w:drawing>
          <wp:inline>
            <wp:extent cx="2793227" cy="2818241"/>
            <wp:effectExtent b="0" l="0" r="0" t="0"/>
            <wp:docPr descr="logo" title="" id="1" name="Picture"/>
            <a:graphic>
              <a:graphicData uri="http://schemas.openxmlformats.org/drawingml/2006/picture">
                <pic:pic>
                  <pic:nvPicPr>
                    <pic:cNvPr descr="images/PhysMoveHex.png" id="2" name="Picture"/>
                    <pic:cNvPicPr>
                      <a:picLocks noChangeArrowheads="1" noChangeAspect="1"/>
                    </pic:cNvPicPr>
                  </pic:nvPicPr>
                  <pic:blipFill>
                    <a:blip r:embed="rId20"/>
                    <a:stretch>
                      <a:fillRect/>
                    </a:stretch>
                  </pic:blipFill>
                  <pic:spPr bwMode="auto">
                    <a:xfrm>
                      <a:off x="0" y="0"/>
                      <a:ext cx="2793227" cy="2818241"/>
                    </a:xfrm>
                    <a:prstGeom prst="rect">
                      <a:avLst/>
                    </a:prstGeom>
                    <a:noFill/>
                    <a:ln w="9525">
                      <a:noFill/>
                      <a:headEnd/>
                      <a:tailEnd/>
                    </a:ln>
                  </pic:spPr>
                </pic:pic>
              </a:graphicData>
            </a:graphic>
          </wp:inline>
        </w:drawing>
      </w:r>
    </w:p>
    <w:bookmarkStart w:id="27" w:name="index"/>
    <w:p>
      <w:pPr>
        <w:pStyle w:val="Heading2"/>
      </w:pPr>
      <w:r>
        <w:t xml:space="preserve">Index</w:t>
      </w:r>
    </w:p>
    <w:p>
      <w:pPr>
        <w:numPr>
          <w:ilvl w:val="0"/>
          <w:numId w:val="1001"/>
        </w:numPr>
        <w:pStyle w:val="Compact"/>
      </w:pPr>
      <w:hyperlink r:id="rId23">
        <w:r>
          <w:rPr>
            <w:rStyle w:val="Hyperlink"/>
          </w:rPr>
          <w:t xml:space="preserve">Introduction and data preparation</w:t>
        </w:r>
      </w:hyperlink>
    </w:p>
    <w:p>
      <w:pPr>
        <w:numPr>
          <w:ilvl w:val="0"/>
          <w:numId w:val="1001"/>
        </w:numPr>
        <w:pStyle w:val="Compact"/>
      </w:pPr>
      <w:hyperlink r:id="rId24">
        <w:r>
          <w:rPr>
            <w:rStyle w:val="Hyperlink"/>
          </w:rPr>
          <w:t xml:space="preserve">Movement patterns</w:t>
        </w:r>
      </w:hyperlink>
    </w:p>
    <w:p>
      <w:pPr>
        <w:numPr>
          <w:ilvl w:val="0"/>
          <w:numId w:val="1001"/>
        </w:numPr>
        <w:pStyle w:val="Compact"/>
      </w:pPr>
      <w:hyperlink r:id="rId25">
        <w:r>
          <w:rPr>
            <w:rStyle w:val="Hyperlink"/>
          </w:rPr>
          <w:t xml:space="preserve">Space-use patterns</w:t>
        </w:r>
      </w:hyperlink>
    </w:p>
    <w:p>
      <w:pPr>
        <w:numPr>
          <w:ilvl w:val="0"/>
          <w:numId w:val="1001"/>
        </w:numPr>
        <w:pStyle w:val="Compact"/>
      </w:pPr>
      <w:hyperlink r:id="rId26">
        <w:r>
          <w:rPr>
            <w:rStyle w:val="Hyperlink"/>
          </w:rPr>
          <w:t xml:space="preserve">Intraspecific movements</w:t>
        </w:r>
      </w:hyperlink>
    </w:p>
    <w:bookmarkEnd w:id="27"/>
    <w:bookmarkStart w:id="29" w:name="introduction"/>
    <w:p>
      <w:pPr>
        <w:pStyle w:val="Heading2"/>
      </w:pPr>
      <w:r>
        <w:t xml:space="preserve">Introduction</w:t>
      </w:r>
    </w:p>
    <w:p>
      <w:pPr>
        <w:pStyle w:val="FirstParagraph"/>
      </w:pPr>
      <w:r>
        <w:rPr>
          <w:iCs/>
          <w:i/>
        </w:rPr>
        <w:t xml:space="preserve">PhysMove</w:t>
      </w:r>
      <w:r>
        <w:t xml:space="preserve"> </w:t>
      </w:r>
      <w:r>
        <w:t xml:space="preserve">contains a comprehensive collection of methods for documenting species’ movement and space-use patterns from satellite telemetry data. These vignettes demonstrate how to calculate each of the</w:t>
      </w:r>
      <w:r>
        <w:t xml:space="preserve"> </w:t>
      </w:r>
      <w:r>
        <w:rPr>
          <w:iCs/>
          <w:i/>
        </w:rPr>
        <w:t xml:space="preserve">PhysMove</w:t>
      </w:r>
      <w:r>
        <w:t xml:space="preserve"> </w:t>
      </w:r>
      <w:r>
        <w:t xml:space="preserve">methods and review all relevant functions and parameters. We demonstrate each function with a simulated telemetry dataset, called</w:t>
      </w:r>
      <w:r>
        <w:t xml:space="preserve"> </w:t>
      </w:r>
      <w:r>
        <w:t xml:space="preserve">‘</w:t>
      </w:r>
      <w:r>
        <w:rPr>
          <w:rStyle w:val="VerbatimChar"/>
        </w:rPr>
        <w:t xml:space="preserve">tracks</w:t>
      </w:r>
      <w:r>
        <w:t xml:space="preserve">’</w:t>
      </w:r>
      <w:r>
        <w:t xml:space="preserve">, which is automatically loaded with</w:t>
      </w:r>
      <w:r>
        <w:t xml:space="preserve"> </w:t>
      </w:r>
      <w:r>
        <w:rPr>
          <w:iCs/>
          <w:i/>
        </w:rPr>
        <w:t xml:space="preserve">PhysMove</w:t>
      </w:r>
      <w:r>
        <w:t xml:space="preserve"> </w:t>
      </w:r>
      <w:r>
        <w:t xml:space="preserve">(see</w:t>
      </w:r>
      <w:r>
        <w:t xml:space="preserve"> </w:t>
      </w:r>
      <w:hyperlink r:id="rId28">
        <w:r>
          <w:rPr>
            <w:rStyle w:val="Hyperlink"/>
          </w:rPr>
          <w:t xml:space="preserve">explore tracks dataset</w:t>
        </w:r>
      </w:hyperlink>
      <w:r>
        <w:t xml:space="preserve"> </w:t>
      </w:r>
      <w:r>
        <w:t xml:space="preserve">for further details). For further details on our methods and interpreting results please see our corresponding manuscript.</w:t>
      </w:r>
    </w:p>
    <w:p>
      <w:pPr>
        <w:pStyle w:val="BodyText"/>
      </w:pPr>
      <w:r>
        <w:t xml:space="preserve">The most up-to-date version of</w:t>
      </w:r>
      <w:r>
        <w:t xml:space="preserve"> </w:t>
      </w:r>
      <w:r>
        <w:rPr>
          <w:iCs/>
          <w:i/>
        </w:rPr>
        <w:t xml:space="preserve">PhysMove</w:t>
      </w:r>
      <w:r>
        <w:t xml:space="preserve"> </w:t>
      </w:r>
      <w:r>
        <w:t xml:space="preserve">and the accompanying vignettes can be installed by following the instructions below.</w:t>
      </w:r>
    </w:p>
    <w:bookmarkEnd w:id="29"/>
    <w:bookmarkStart w:id="30" w:name="installation"/>
    <w:p>
      <w:pPr>
        <w:pStyle w:val="Heading2"/>
      </w:pPr>
      <w:r>
        <w:t xml:space="preserve">Installation</w:t>
      </w:r>
    </w:p>
    <w:p>
      <w:pPr>
        <w:pStyle w:val="FirstParagraph"/>
      </w:pPr>
      <w:r>
        <w:t xml:space="preserve">We recommend users install the development version of</w:t>
      </w:r>
      <w:r>
        <w:t xml:space="preserve"> </w:t>
      </w:r>
      <w:r>
        <w:rPr>
          <w:iCs/>
          <w:i/>
        </w:rPr>
        <w:t xml:space="preserve">PhysMove</w:t>
      </w:r>
      <w:r>
        <w:t xml:space="preserve"> </w:t>
      </w:r>
      <w:r>
        <w:t xml:space="preserve">from GitHub using the devtools R package.</w:t>
      </w:r>
    </w:p>
    <w:p>
      <w:pPr>
        <w:pStyle w:val="SourceCode"/>
      </w:pPr>
      <w:r>
        <w:rPr>
          <w:rStyle w:val="CommentTok"/>
        </w:rPr>
        <w:t xml:space="preserve"># Install the devtools package from CRAN (if required)</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Download the development version from GitHub:</w:t>
      </w:r>
      <w:r>
        <w:br/>
      </w:r>
      <w:r>
        <w:rPr>
          <w:rStyle w:val="NormalTok"/>
        </w:rPr>
        <w:t xml:space="preserve">devtools</w:t>
      </w:r>
      <w:r>
        <w:rPr>
          <w:rStyle w:val="SpecialCharTok"/>
        </w:rPr>
        <w:t xml:space="preserve">::</w:t>
      </w:r>
      <w:r>
        <w:rPr>
          <w:rStyle w:val="FunctionTok"/>
        </w:rPr>
        <w:t xml:space="preserve">install_github</w:t>
      </w:r>
      <w:r>
        <w:rPr>
          <w:rStyle w:val="NormalTok"/>
        </w:rPr>
        <w:t xml:space="preserve">(</w:t>
      </w:r>
      <w:r>
        <w:rPr>
          <w:rStyle w:val="StringTok"/>
        </w:rPr>
        <w:t xml:space="preserve">"HannahCalich/PhysMove"</w:t>
      </w:r>
      <w:r>
        <w:rPr>
          <w:rStyle w:val="NormalTok"/>
        </w:rPr>
        <w:t xml:space="preserve">, </w:t>
      </w:r>
      <w:r>
        <w:rPr>
          <w:rStyle w:val="AttributeTok"/>
        </w:rPr>
        <w:t xml:space="preserve">auth_token =</w:t>
      </w:r>
      <w:r>
        <w:rPr>
          <w:rStyle w:val="NormalTok"/>
        </w:rPr>
        <w:t xml:space="preserve"> </w:t>
      </w:r>
      <w:r>
        <w:rPr>
          <w:rStyle w:val="StringTok"/>
        </w:rPr>
        <w:t xml:space="preserve">"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"</w:t>
      </w:r>
      <w:r>
        <w:rPr>
          <w:rStyle w:val="NormalTok"/>
        </w:rPr>
        <w:t xml:space="preserve">, </w:t>
      </w:r>
      <w:r>
        <w:rPr>
          <w:rStyle w:val="AttributeTok"/>
        </w:rPr>
        <w:t xml:space="preserve">build_vignettes =</w:t>
      </w:r>
      <w:r>
        <w:rPr>
          <w:rStyle w:val="NormalTok"/>
        </w:rPr>
        <w:t xml:space="preserve"> </w:t>
      </w:r>
      <w:r>
        <w:rPr>
          <w:rStyle w:val="ConstantTok"/>
        </w:rPr>
        <w:t xml:space="preserve">TRUE</w:t>
      </w:r>
      <w:r>
        <w:rPr>
          <w:rStyle w:val="NormalTok"/>
        </w:rPr>
        <w:t xml:space="preserve">)</w:t>
      </w:r>
    </w:p>
    <w:p>
      <w:pPr>
        <w:pStyle w:val="SourceCode"/>
      </w:pPr>
      <w:r>
        <w:rPr>
          <w:rStyle w:val="CommentTok"/>
        </w:rPr>
        <w:t xml:space="preserve"># Load PhysMove</w:t>
      </w:r>
      <w:r>
        <w:br/>
      </w:r>
      <w:r>
        <w:rPr>
          <w:rStyle w:val="FunctionTok"/>
        </w:rPr>
        <w:t xml:space="preserve">library</w:t>
      </w:r>
      <w:r>
        <w:rPr>
          <w:rStyle w:val="NormalTok"/>
        </w:rPr>
        <w:t xml:space="preserve">(PhysMove)</w:t>
      </w:r>
    </w:p>
    <w:bookmarkEnd w:id="30"/>
    <w:bookmarkStart w:id="31" w:name="data-formatting"/>
    <w:p>
      <w:pPr>
        <w:pStyle w:val="Heading2"/>
      </w:pPr>
      <w:r>
        <w:t xml:space="preserve">Data formatting</w:t>
      </w:r>
    </w:p>
    <w:p>
      <w:pPr>
        <w:pStyle w:val="FirstParagraph"/>
      </w:pPr>
      <w:r>
        <w:rPr>
          <w:iCs/>
          <w:i/>
        </w:rPr>
        <w:t xml:space="preserve">PhysMove</w:t>
      </w:r>
      <w:r>
        <w:t xml:space="preserve"> </w:t>
      </w:r>
      <w:r>
        <w:t xml:space="preserve">was designed to be user-friendly and most functions only require you to input a data frame containing standard telemetry data. The input data frame must only contain these four columns in the following order:</w:t>
      </w:r>
      <w:r>
        <w:t xml:space="preserve"> </w:t>
      </w:r>
      <w:r>
        <w:rPr>
          <w:iCs/>
          <w:i/>
        </w:rPr>
        <w:t xml:space="preserve">ref</w:t>
      </w:r>
      <w:r>
        <w:t xml:space="preserve">,</w:t>
      </w:r>
      <w:r>
        <w:t xml:space="preserve"> </w:t>
      </w:r>
      <w:r>
        <w:rPr>
          <w:iCs/>
          <w:i/>
        </w:rPr>
        <w:t xml:space="preserve">lon</w:t>
      </w:r>
      <w:r>
        <w:t xml:space="preserve">,</w:t>
      </w:r>
      <w:r>
        <w:t xml:space="preserve"> </w:t>
      </w:r>
      <w:r>
        <w:rPr>
          <w:iCs/>
          <w:i/>
        </w:rPr>
        <w:t xml:space="preserve">lat</w:t>
      </w:r>
      <w:r>
        <w:t xml:space="preserve">, and</w:t>
      </w:r>
      <w:r>
        <w:t xml:space="preserve"> </w:t>
      </w:r>
      <w:r>
        <w:rPr>
          <w:iCs/>
          <w:i/>
        </w:rPr>
        <w:t xml:space="preserve">day</w:t>
      </w:r>
      <w:r>
        <w:t xml:space="preserve">.</w:t>
      </w:r>
    </w:p>
    <w:p>
      <w:pPr>
        <w:pStyle w:val="BodyText"/>
      </w:pPr>
      <w:r>
        <w:t xml:space="preserve">Columns must be formatted as follows:</w:t>
      </w:r>
    </w:p>
    <w:p>
      <w:pPr>
        <w:numPr>
          <w:ilvl w:val="0"/>
          <w:numId w:val="1002"/>
        </w:numPr>
        <w:pStyle w:val="Compact"/>
      </w:pPr>
      <w:r>
        <w:rPr>
          <w:iCs/>
          <w:i/>
        </w:rPr>
        <w:t xml:space="preserve">ref</w:t>
      </w:r>
      <w:r>
        <w:t xml:space="preserve">: the unique telemetry tag ID number for each animal in numeric format (note that characters are not accepted because</w:t>
      </w:r>
      <w:r>
        <w:t xml:space="preserve"> </w:t>
      </w:r>
      <w:r>
        <w:t xml:space="preserve">they can be slower to process than integers, so please convert all reference IDs to integers before proceeding)</w:t>
      </w:r>
    </w:p>
    <w:p>
      <w:pPr>
        <w:numPr>
          <w:ilvl w:val="0"/>
          <w:numId w:val="1002"/>
        </w:numPr>
        <w:pStyle w:val="Compact"/>
      </w:pPr>
      <w:r>
        <w:rPr>
          <w:iCs/>
          <w:i/>
        </w:rPr>
        <w:t xml:space="preserve">lon</w:t>
      </w:r>
      <w:r>
        <w:t xml:space="preserve"> </w:t>
      </w:r>
      <w:r>
        <w:t xml:space="preserve">and</w:t>
      </w:r>
      <w:r>
        <w:t xml:space="preserve"> </w:t>
      </w:r>
      <w:r>
        <w:rPr>
          <w:iCs/>
          <w:i/>
        </w:rPr>
        <w:t xml:space="preserve">lat</w:t>
      </w:r>
      <w:r>
        <w:t xml:space="preserve">: the longitude (-180 to + 180) and latitude (-90 to +90) in decimal degrees of</w:t>
      </w:r>
      <w:r>
        <w:t xml:space="preserve"> </w:t>
      </w:r>
      <w:r>
        <w:t xml:space="preserve">each position estimate, respectively, in numeric format, and</w:t>
      </w:r>
    </w:p>
    <w:p>
      <w:pPr>
        <w:numPr>
          <w:ilvl w:val="0"/>
          <w:numId w:val="1002"/>
        </w:numPr>
        <w:pStyle w:val="Compact"/>
      </w:pPr>
      <w:r>
        <w:rPr>
          <w:iCs/>
          <w:i/>
        </w:rPr>
        <w:t xml:space="preserve">day</w:t>
      </w:r>
      <w:r>
        <w:t xml:space="preserve">: the datetime stamp for each location estimate in POSIXct</w:t>
      </w:r>
      <w:r>
        <w:t xml:space="preserve"> </w:t>
      </w:r>
      <w:r>
        <w:t xml:space="preserve">format following yyyy-mm-dd hh:mm:ss.</w:t>
      </w:r>
    </w:p>
    <w:p>
      <w:pPr>
        <w:pStyle w:val="FirstParagraph"/>
      </w:pPr>
      <w:r>
        <w:t xml:space="preserve">The</w:t>
      </w:r>
      <w:r>
        <w:t xml:space="preserve"> </w:t>
      </w:r>
      <w:r>
        <w:rPr>
          <w:rStyle w:val="VerbatimChar"/>
        </w:rPr>
        <w:t xml:space="preserve">checkTracks</w:t>
      </w:r>
      <w:r>
        <w:t xml:space="preserve"> </w:t>
      </w:r>
      <w:r>
        <w:t xml:space="preserve">function can be used to confirm your input data are formatted as described above. This function checks that column names are in order and that each column is in the correct format as described above. Note that this function does not evaluate data quality or quantity.</w:t>
      </w:r>
    </w:p>
    <w:p>
      <w:pPr>
        <w:pStyle w:val="SourceCode"/>
      </w:pPr>
      <w:r>
        <w:rPr>
          <w:rStyle w:val="CommentTok"/>
        </w:rPr>
        <w:t xml:space="preserve"># Check your data are formatted correctly</w:t>
      </w:r>
      <w:r>
        <w:br/>
      </w:r>
      <w:r>
        <w:rPr>
          <w:rStyle w:val="FunctionTok"/>
        </w:rPr>
        <w:t xml:space="preserve">checkTracks</w:t>
      </w:r>
      <w:r>
        <w:rPr>
          <w:rStyle w:val="NormalTok"/>
        </w:rPr>
        <w:t xml:space="preserve">(tracks) </w:t>
      </w:r>
      <w:r>
        <w:rPr>
          <w:rStyle w:val="CommentTok"/>
        </w:rPr>
        <w:t xml:space="preserve"># replace "tracks" with your data frame</w:t>
      </w:r>
      <w:r>
        <w:br/>
      </w:r>
      <w:r>
        <w:rPr>
          <w:rStyle w:val="CommentTok"/>
        </w:rPr>
        <w:t xml:space="preserve">#&gt; Your data are formatted correctly</w:t>
      </w:r>
    </w:p>
    <w:p>
      <w:pPr>
        <w:pStyle w:val="FirstParagraph"/>
      </w:pPr>
      <w:r>
        <w:t xml:space="preserve">You can also compare your data frame to our sample dataset</w:t>
      </w:r>
      <w:r>
        <w:t xml:space="preserve"> </w:t>
      </w:r>
      <w:r>
        <w:t xml:space="preserve">‘</w:t>
      </w:r>
      <w:r>
        <w:rPr>
          <w:rStyle w:val="VerbatimChar"/>
        </w:rPr>
        <w:t xml:space="preserve">tracks</w:t>
      </w:r>
      <w:r>
        <w:t xml:space="preserve">’</w:t>
      </w:r>
      <w:r>
        <w:t xml:space="preserve"> </w:t>
      </w:r>
      <w:r>
        <w:t xml:space="preserve">to ensure your data are formatted correctly.</w:t>
      </w:r>
    </w:p>
    <w:bookmarkEnd w:id="31"/>
    <w:bookmarkStart w:id="32" w:name="explore-tracks-dataset"/>
    <w:p>
      <w:pPr>
        <w:pStyle w:val="Heading2"/>
      </w:pPr>
      <w:r>
        <w:t xml:space="preserve">Explore</w:t>
      </w:r>
      <w:r>
        <w:t xml:space="preserve"> </w:t>
      </w:r>
      <w:r>
        <w:t xml:space="preserve">‘</w:t>
      </w:r>
      <w:r>
        <w:rPr>
          <w:rStyle w:val="VerbatimChar"/>
        </w:rPr>
        <w:t xml:space="preserve">tracks</w:t>
      </w:r>
      <w:r>
        <w:t xml:space="preserve">’</w:t>
      </w:r>
      <w:r>
        <w:t xml:space="preserve"> </w:t>
      </w:r>
      <w:r>
        <w:t xml:space="preserve">dataset</w:t>
      </w:r>
    </w:p>
    <w:p>
      <w:pPr>
        <w:pStyle w:val="FirstParagraph"/>
      </w:pPr>
      <w:r>
        <w:t xml:space="preserve">‘</w:t>
      </w:r>
      <w:r>
        <w:rPr>
          <w:rStyle w:val="VerbatimChar"/>
        </w:rPr>
        <w:t xml:space="preserve">tracks</w:t>
      </w:r>
      <w:r>
        <w:t xml:space="preserve">’</w:t>
      </w:r>
      <w:r>
        <w:t xml:space="preserve"> </w:t>
      </w:r>
      <w:r>
        <w:t xml:space="preserve">is a simulated telemetry dataset of 25 unique tracks with a defined set of movement parameters that was designed to demonstrate each of the</w:t>
      </w:r>
      <w:r>
        <w:t xml:space="preserve"> </w:t>
      </w:r>
      <w:r>
        <w:rPr>
          <w:iCs/>
          <w:i/>
        </w:rPr>
        <w:t xml:space="preserve">PhysMove</w:t>
      </w:r>
      <w:r>
        <w:t xml:space="preserve"> </w:t>
      </w:r>
      <w:r>
        <w:t xml:space="preserve">functions. In detail,</w:t>
      </w:r>
      <w:r>
        <w:t xml:space="preserve"> </w:t>
      </w:r>
      <w:r>
        <w:t xml:space="preserve">‘</w:t>
      </w:r>
      <w:r>
        <w:rPr>
          <w:rStyle w:val="VerbatimChar"/>
        </w:rPr>
        <w:t xml:space="preserve">tracks</w:t>
      </w:r>
      <w:r>
        <w:t xml:space="preserve">’</w:t>
      </w:r>
      <w:r>
        <w:t xml:space="preserve"> </w:t>
      </w:r>
      <w:r>
        <w:t xml:space="preserve">was created using a biased, uncorrelated random walk model with variable step lengths drawn from an exponential distribution with λ = 0.125. We defined the turning angles such that 30% indicated directed forward movement (movements with angles &lt;30° or &gt;330°), and 30% indicated directed return movement (angles between 150-210°), allowing the remainder (40%) to be randomly between 0-360°. These metrics were chosen because they are broadly consistent with literature interpretations of animals moving through a resource-rich habitat. See corresponded manuscript for further details. The code used to make the</w:t>
      </w:r>
      <w:r>
        <w:t xml:space="preserve"> </w:t>
      </w:r>
      <w:r>
        <w:t xml:space="preserve">‘</w:t>
      </w:r>
      <w:r>
        <w:rPr>
          <w:rStyle w:val="VerbatimChar"/>
        </w:rPr>
        <w:t xml:space="preserve">tracks</w:t>
      </w:r>
      <w:r>
        <w:t xml:space="preserve">’</w:t>
      </w:r>
      <w:r>
        <w:t xml:space="preserve"> </w:t>
      </w:r>
      <w:r>
        <w:t xml:space="preserve">dataset is available in the</w:t>
      </w:r>
      <w:r>
        <w:t xml:space="preserve"> </w:t>
      </w:r>
      <w:r>
        <w:rPr>
          <w:iCs/>
          <w:i/>
        </w:rPr>
        <w:t xml:space="preserve">PhysMove</w:t>
      </w:r>
      <w:r>
        <w:t xml:space="preserve"> </w:t>
      </w:r>
      <w:r>
        <w:rPr>
          <w:rStyle w:val="VerbatimChar"/>
        </w:rPr>
        <w:t xml:space="preserve">doc</w:t>
      </w:r>
      <w:r>
        <w:t xml:space="preserve"> </w:t>
      </w:r>
      <w:r>
        <w:t xml:space="preserve">folder on GitHub as</w:t>
      </w:r>
      <w:r>
        <w:t xml:space="preserve"> </w:t>
      </w:r>
      <w:r>
        <w:t xml:space="preserve">“</w:t>
      </w:r>
      <w:r>
        <w:t xml:space="preserve">createTracks.R</w:t>
      </w:r>
      <w:r>
        <w:t xml:space="preserve">”</w:t>
      </w:r>
      <w:r>
        <w:t xml:space="preserve">.</w:t>
      </w:r>
    </w:p>
    <w:p>
      <w:pPr>
        <w:pStyle w:val="SourceCode"/>
      </w:pPr>
      <w:r>
        <w:rPr>
          <w:rStyle w:val="CommentTok"/>
        </w:rPr>
        <w:t xml:space="preserve"># Preview the first 6 rows of the tracks dataset</w:t>
      </w:r>
      <w:r>
        <w:br/>
      </w:r>
      <w:r>
        <w:rPr>
          <w:rStyle w:val="FunctionTok"/>
        </w:rPr>
        <w:t xml:space="preserve">head</w:t>
      </w:r>
      <w:r>
        <w:rPr>
          <w:rStyle w:val="NormalTok"/>
        </w:rPr>
        <w:t xml:space="preserve">(tracks)</w:t>
      </w:r>
      <w:r>
        <w:br/>
      </w:r>
      <w:r>
        <w:rPr>
          <w:rStyle w:val="CommentTok"/>
        </w:rPr>
        <w:t xml:space="preserve">#&gt;   ref       lon       lat                 day</w:t>
      </w:r>
      <w:r>
        <w:br/>
      </w:r>
      <w:r>
        <w:rPr>
          <w:rStyle w:val="CommentTok"/>
        </w:rPr>
        <w:t xml:space="preserve">#&gt; 1   1 0.5310173 0.5310173 2017-10-13 15:00:00</w:t>
      </w:r>
      <w:r>
        <w:br/>
      </w:r>
      <w:r>
        <w:rPr>
          <w:rStyle w:val="CommentTok"/>
        </w:rPr>
        <w:t xml:space="preserve">#&gt; 2   1 0.5156939 0.5500691 2017-10-14 15:00:00</w:t>
      </w:r>
      <w:r>
        <w:br/>
      </w:r>
      <w:r>
        <w:rPr>
          <w:rStyle w:val="CommentTok"/>
        </w:rPr>
        <w:t xml:space="preserve">#&gt; 3   1 0.5052581 0.5158941 2017-10-15 15:00:00</w:t>
      </w:r>
      <w:r>
        <w:br/>
      </w:r>
      <w:r>
        <w:rPr>
          <w:rStyle w:val="CommentTok"/>
        </w:rPr>
        <w:t xml:space="preserve">#&gt; 4   1 0.5247597 0.4555179 2017-10-16 15:00:00</w:t>
      </w:r>
      <w:r>
        <w:br/>
      </w:r>
      <w:r>
        <w:rPr>
          <w:rStyle w:val="CommentTok"/>
        </w:rPr>
        <w:t xml:space="preserve">#&gt; 5   1 0.5491573 0.2831650 2017-10-17 15:00:00</w:t>
      </w:r>
      <w:r>
        <w:br/>
      </w:r>
      <w:r>
        <w:rPr>
          <w:rStyle w:val="CommentTok"/>
        </w:rPr>
        <w:t xml:space="preserve">#&gt; 6   1 0.5670918 0.2875133 2017-10-18 15:00:00</w:t>
      </w:r>
    </w:p>
    <w:p>
      <w:pPr>
        <w:pStyle w:val="FirstParagraph"/>
      </w:pPr>
    </w:p>
    <w:p>
      <w:pPr>
        <w:pStyle w:val="SourceCode"/>
      </w:pPr>
      <w:r>
        <w:rPr>
          <w:rStyle w:val="CommentTok"/>
        </w:rPr>
        <w:t xml:space="preserve"># Determine the structure of the tracks dataset</w:t>
      </w:r>
      <w:r>
        <w:br/>
      </w:r>
      <w:r>
        <w:rPr>
          <w:rStyle w:val="FunctionTok"/>
        </w:rPr>
        <w:t xml:space="preserve">str</w:t>
      </w:r>
      <w:r>
        <w:rPr>
          <w:rStyle w:val="NormalTok"/>
        </w:rPr>
        <w:t xml:space="preserve">(tracks)</w:t>
      </w:r>
      <w:r>
        <w:br/>
      </w:r>
      <w:r>
        <w:rPr>
          <w:rStyle w:val="CommentTok"/>
        </w:rPr>
        <w:t xml:space="preserve">#&gt; 'data.frame':    15623 obs. of  4 variables:</w:t>
      </w:r>
      <w:r>
        <w:br/>
      </w:r>
      <w:r>
        <w:rPr>
          <w:rStyle w:val="CommentTok"/>
        </w:rPr>
        <w:t xml:space="preserve">#&gt;  $ ref: num  1 1 1 1 1 1 1 1 1 1 ...</w:t>
      </w:r>
      <w:r>
        <w:br/>
      </w:r>
      <w:r>
        <w:rPr>
          <w:rStyle w:val="CommentTok"/>
        </w:rPr>
        <w:t xml:space="preserve">#&gt;  $ lon: num  0.531 0.516 0.505 0.525 0.549 ...</w:t>
      </w:r>
      <w:r>
        <w:br/>
      </w:r>
      <w:r>
        <w:rPr>
          <w:rStyle w:val="CommentTok"/>
        </w:rPr>
        <w:t xml:space="preserve">#&gt;  $ lat: num  0.531 0.55 0.516 0.456 0.283 ...</w:t>
      </w:r>
      <w:r>
        <w:br/>
      </w:r>
      <w:r>
        <w:rPr>
          <w:rStyle w:val="CommentTok"/>
        </w:rPr>
        <w:t xml:space="preserve">#&gt;  $ day: POSIXct, format: "2017-10-13 15:00:00" "2017-10-14 15:00:00" ...</w:t>
      </w:r>
    </w:p>
    <w:p>
      <w:pPr>
        <w:pStyle w:val="FirstParagraph"/>
      </w:pPr>
    </w:p>
    <w:bookmarkEnd w:id="32"/>
    <w:bookmarkStart w:id="34" w:name="create-a-map-of-the-tracks-dataset"/>
    <w:p>
      <w:pPr>
        <w:pStyle w:val="Heading2"/>
      </w:pPr>
      <w:r>
        <w:t xml:space="preserve">Create a map of the tracks dataset</w:t>
      </w:r>
    </w:p>
    <w:p>
      <w:pPr>
        <w:pStyle w:val="FirstParagraph"/>
      </w:pPr>
      <w:r>
        <w:t xml:space="preserve">A basic map of your telemetry data can be created using our</w:t>
      </w:r>
      <w:r>
        <w:t xml:space="preserve"> </w:t>
      </w:r>
      <w:r>
        <w:rPr>
          <w:rStyle w:val="VerbatimChar"/>
        </w:rPr>
        <w:t xml:space="preserve">plotTracks()</w:t>
      </w:r>
      <w:r>
        <w:t xml:space="preserve"> </w:t>
      </w:r>
      <w:r>
        <w:t xml:space="preserve">function (Figure V1).</w:t>
      </w:r>
    </w:p>
    <w:p>
      <w:pPr>
        <w:pStyle w:val="BodyText"/>
      </w:pPr>
      <w:r>
        <w:rPr>
          <w:rStyle w:val="VerbatimChar"/>
        </w:rPr>
        <w:t xml:space="preserve">plotTracks()</w:t>
      </w:r>
      <w:r>
        <w:t xml:space="preserve"> </w:t>
      </w:r>
      <w:r>
        <w:t xml:space="preserve">requires a data frame with telemetry data (see</w:t>
      </w:r>
      <w:r>
        <w:t xml:space="preserve"> </w:t>
      </w:r>
      <w:hyperlink r:id="rId33">
        <w:r>
          <w:rPr>
            <w:rStyle w:val="Hyperlink"/>
          </w:rPr>
          <w:t xml:space="preserve">data formatting</w:t>
        </w:r>
      </w:hyperlink>
      <w:r>
        <w:t xml:space="preserve">) and includes three optional parameters:</w:t>
      </w:r>
    </w:p>
    <w:p>
      <w:pPr>
        <w:numPr>
          <w:ilvl w:val="0"/>
          <w:numId w:val="1003"/>
        </w:numPr>
        <w:pStyle w:val="Compact"/>
      </w:pPr>
      <w:r>
        <w:rPr>
          <w:rStyle w:val="VerbatimChar"/>
        </w:rPr>
        <w:t xml:space="preserve">ref</w:t>
      </w:r>
      <w:r>
        <w:t xml:space="preserve">: plot specific tracks based on their reference IDs (</w:t>
      </w:r>
      <w:r>
        <w:rPr>
          <w:rStyle w:val="VerbatimChar"/>
        </w:rPr>
        <w:t xml:space="preserve">ref=NULL</w:t>
      </w:r>
      <w:r>
        <w:t xml:space="preserve">, by default),</w:t>
      </w:r>
    </w:p>
    <w:p>
      <w:pPr>
        <w:numPr>
          <w:ilvl w:val="0"/>
          <w:numId w:val="1003"/>
        </w:numPr>
        <w:pStyle w:val="Compact"/>
      </w:pPr>
      <w:r>
        <w:rPr>
          <w:rStyle w:val="VerbatimChar"/>
        </w:rPr>
        <w:t xml:space="preserve">tracks</w:t>
      </w:r>
      <w:r>
        <w:t xml:space="preserve">: connect points with lines (</w:t>
      </w:r>
      <w:r>
        <w:rPr>
          <w:rStyle w:val="VerbatimChar"/>
        </w:rPr>
        <w:t xml:space="preserve">tracks=TRUE</w:t>
      </w:r>
      <w:r>
        <w:t xml:space="preserve">, by default), and</w:t>
      </w:r>
    </w:p>
    <w:p>
      <w:pPr>
        <w:numPr>
          <w:ilvl w:val="0"/>
          <w:numId w:val="1003"/>
        </w:numPr>
        <w:pStyle w:val="Compact"/>
      </w:pPr>
      <w:r>
        <w:rPr>
          <w:rStyle w:val="VerbatimChar"/>
        </w:rPr>
        <w:t xml:space="preserve">colours</w:t>
      </w:r>
      <w:r>
        <w:t xml:space="preserve">: edit the colours used in the map (</w:t>
      </w:r>
      <w:r>
        <w:rPr>
          <w:rStyle w:val="VerbatimChar"/>
        </w:rPr>
        <w:t xml:space="preserve">colours=rainbow</w:t>
      </w:r>
      <w:r>
        <w:t xml:space="preserve">, by default).</w:t>
      </w:r>
    </w:p>
    <w:p>
      <w:pPr>
        <w:pStyle w:val="SourceCode"/>
      </w:pPr>
      <w:r>
        <w:rPr>
          <w:rStyle w:val="FunctionTok"/>
        </w:rPr>
        <w:t xml:space="preserve">plotTracks</w:t>
      </w:r>
      <w:r>
        <w:rPr>
          <w:rStyle w:val="NormalTok"/>
        </w:rPr>
        <w:t xml:space="preserve">(tracks)</w:t>
      </w:r>
    </w:p>
    <w:p>
      <w:pPr>
        <w:jc w:val="center"/>
        <w:pStyle w:val="Figure"/>
      </w:pPr>
      <w:r>
        <w:rPr/>
        <w:drawing>
          <wp:inline distT="0" distB="0" distL="0" distR="0">
            <wp:extent cx="36576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cstate="print" r:embed="rId34"/>
                    <a:stretch>
                      <a:fillRect/>
                    </a:stretch>
                  </pic:blipFill>
                  <pic:spPr bwMode="auto">
                    <a:xfrm>
                      <a:off x="0" y="0"/>
                      <a:ext cx="50800" cy="50800"/>
                    </a:xfrm>
                    <a:prstGeom prst="rect">
                      <a:avLst/>
                    </a:prstGeom>
                    <a:noFill/>
                  </pic:spPr>
                </pic:pic>
              </a:graphicData>
            </a:graphic>
          </wp:inline>
        </w:drawing>
      </w:r>
    </w:p>
    <w:p>
      <w:pPr>
        <w:pStyle w:val="FirstParagraph"/>
      </w:pPr>
    </w:p>
    <w:p>
      <w:pPr>
        <w:pStyle w:val="BodyText"/>
      </w:pPr>
      <w:r>
        <w:rPr>
          <w:bCs/>
          <w:b/>
        </w:rPr>
        <w:t xml:space="preserve">Figure V1</w:t>
      </w:r>
      <w:r>
        <w:t xml:space="preserve"> </w:t>
      </w:r>
      <w:r>
        <w:t xml:space="preserve">Map of the simulated</w:t>
      </w:r>
      <w:r>
        <w:t xml:space="preserve"> </w:t>
      </w:r>
      <w:r>
        <w:t xml:space="preserve">‘</w:t>
      </w:r>
      <w:r>
        <w:rPr>
          <w:rStyle w:val="VerbatimChar"/>
        </w:rPr>
        <w:t xml:space="preserve">tracks</w:t>
      </w:r>
      <w:r>
        <w:t xml:space="preserve">’</w:t>
      </w:r>
      <w:r>
        <w:t xml:space="preserve"> </w:t>
      </w:r>
      <w:r>
        <w:t xml:space="preserve">dataset created with</w:t>
      </w:r>
      <w:r>
        <w:t xml:space="preserve"> </w:t>
      </w:r>
      <w:r>
        <w:rPr>
          <w:rStyle w:val="VerbatimChar"/>
        </w:rPr>
        <w:t xml:space="preserve">plotTracks()</w:t>
      </w:r>
      <w:r>
        <w:t xml:space="preserve"> </w:t>
      </w:r>
      <w:r>
        <w:t xml:space="preserve">default settings.</w:t>
      </w:r>
    </w:p>
    <w:p>
      <w:pPr>
        <w:pStyle w:val="BodyText"/>
      </w:pPr>
      <m:oMath>
        <m:r>
          <m:t> </m:t>
        </m:r>
      </m:oMath>
      <w:r>
        <w:t xml:space="preserve"> </w:t>
      </w:r>
      <m:oMath>
        <m:r>
          <m:t> </m:t>
        </m:r>
      </m:oMath>
    </w:p>
    <w:p>
      <w:pPr>
        <w:pStyle w:val="BodyText"/>
      </w:pPr>
      <w:hyperlink r:id="rId24">
        <w:r>
          <w:rPr>
            <w:rStyle w:val="Hyperlink"/>
          </w:rPr>
          <w:t xml:space="preserve">Proceed to Movement Patterns</w:t>
        </w:r>
      </w:hyperlink>
    </w:p>
    <w:p>
      <w:pPr>
        <w:pStyle w:val="BodyText"/>
      </w:pPr>
      <w:hyperlink r:id="rId23">
        <w:r>
          <w:rPr>
            <w:rStyle w:val="Hyperlink"/>
          </w:rPr>
          <w:t xml:space="preserve">Back to top</w:t>
        </w:r>
      </w:hyperlink>
    </w:p>
    <w:bookmarkEnd w:id="34"/>
    <w:bookmarkStart w:id="35" w:name="references-recommended-resources"/>
    <w:p>
      <w:pPr>
        <w:pStyle w:val="Heading2"/>
      </w:pPr>
      <w:r>
        <w:t xml:space="preserve">References &amp; Recommended resources</w:t>
      </w:r>
    </w:p>
    <w:p>
      <w:pPr>
        <w:pStyle w:val="FirstParagraph"/>
      </w:pPr>
      <w:r>
        <w:t xml:space="preserve">Burnham, K.P. &amp; Anderson, D.R. (2004) Multimodel Inference: Understanding</w:t>
      </w:r>
      <w:r>
        <w:t xml:space="preserve"> </w:t>
      </w:r>
      <w:r>
        <w:t xml:space="preserve">AIC and BIC in Model Selection.</w:t>
      </w:r>
      <w:r>
        <w:t xml:space="preserve"> </w:t>
      </w:r>
      <w:r>
        <w:rPr>
          <w:iCs/>
          <w:i/>
        </w:rPr>
        <w:t xml:space="preserve">Sociological Methods &amp; Research</w:t>
      </w:r>
      <w:r>
        <w:t xml:space="preserve">, 33,</w:t>
      </w:r>
      <w:r>
        <w:t xml:space="preserve"> </w:t>
      </w:r>
      <w:r>
        <w:t xml:space="preserve">261-304.</w:t>
      </w:r>
    </w:p>
    <w:p>
      <w:pPr>
        <w:pStyle w:val="BodyText"/>
      </w:pPr>
      <w:r>
        <w:t xml:space="preserve">Calich, H.J.</w:t>
      </w:r>
      <w:r>
        <w:t xml:space="preserve"> </w:t>
      </w:r>
      <w:r>
        <w:rPr>
          <w:iCs/>
          <w:i/>
        </w:rPr>
        <w:t xml:space="preserve">et al</w:t>
      </w:r>
      <w:r>
        <w:t xml:space="preserve">. (2021) Comprehensive analytical approaches reveal</w:t>
      </w:r>
      <w:r>
        <w:t xml:space="preserve"> </w:t>
      </w:r>
      <w:r>
        <w:t xml:space="preserve">species-specific search strategies in sympatric apex predatory sharks.</w:t>
      </w:r>
      <w:r>
        <w:t xml:space="preserve"> </w:t>
      </w:r>
      <w:r>
        <w:rPr>
          <w:iCs/>
          <w:i/>
        </w:rPr>
        <w:t xml:space="preserve">Ecography</w:t>
      </w:r>
      <w:r>
        <w:t xml:space="preserve">, 44, 1544-1556.</w:t>
      </w:r>
    </w:p>
    <w:p>
      <w:pPr>
        <w:pStyle w:val="BodyText"/>
      </w:pPr>
      <w:r>
        <w:t xml:space="preserve">Farage, C.</w:t>
      </w:r>
      <w:r>
        <w:t xml:space="preserve"> </w:t>
      </w:r>
      <w:r>
        <w:rPr>
          <w:iCs/>
          <w:i/>
        </w:rPr>
        <w:t xml:space="preserve">et al</w:t>
      </w:r>
      <w:r>
        <w:t xml:space="preserve">. (2021) Identifying flow modules in ecological</w:t>
      </w:r>
      <w:r>
        <w:t xml:space="preserve"> </w:t>
      </w:r>
      <w:r>
        <w:t xml:space="preserve">networks using Infomap.</w:t>
      </w:r>
      <w:r>
        <w:t xml:space="preserve"> </w:t>
      </w:r>
      <w:r>
        <w:rPr>
          <w:iCs/>
          <w:i/>
        </w:rPr>
        <w:t xml:space="preserve">Methods in Ecology and Evolution</w:t>
      </w:r>
      <w:r>
        <w:t xml:space="preserve">, 12, 778–786.</w:t>
      </w:r>
    </w:p>
    <w:p>
      <w:pPr>
        <w:pStyle w:val="BodyText"/>
      </w:pPr>
      <w:r>
        <w:t xml:space="preserve">Méndez, V.,</w:t>
      </w:r>
      <w:r>
        <w:t xml:space="preserve"> </w:t>
      </w:r>
      <w:r>
        <w:rPr>
          <w:iCs/>
          <w:i/>
        </w:rPr>
        <w:t xml:space="preserve">et al</w:t>
      </w:r>
      <w:r>
        <w:t xml:space="preserve">. (2013). Stochastic Foundations in Movement Ecology:</w:t>
      </w:r>
      <w:r>
        <w:t xml:space="preserve"> </w:t>
      </w:r>
      <w:r>
        <w:t xml:space="preserve">Anomalous Diffusion, Front Propagation and Random Searches. Berlin,</w:t>
      </w:r>
      <w:r>
        <w:t xml:space="preserve"> </w:t>
      </w:r>
      <w:r>
        <w:t xml:space="preserve">Heidelberg, Germany, Springer Berlin / Heidelberg.</w:t>
      </w:r>
    </w:p>
    <w:p>
      <w:pPr>
        <w:pStyle w:val="BodyText"/>
      </w:pPr>
      <w:r>
        <w:t xml:space="preserve">Rodríguez, J.P.</w:t>
      </w:r>
      <w:r>
        <w:t xml:space="preserve"> </w:t>
      </w:r>
      <w:r>
        <w:rPr>
          <w:iCs/>
          <w:i/>
        </w:rPr>
        <w:t xml:space="preserve">et al</w:t>
      </w:r>
      <w:r>
        <w:t xml:space="preserve">. (2017) Big data analyses reveal patterns and</w:t>
      </w:r>
      <w:r>
        <w:t xml:space="preserve"> </w:t>
      </w:r>
      <w:r>
        <w:t xml:space="preserve">drivers of the movements of southern elephant seals.</w:t>
      </w:r>
      <w:r>
        <w:t xml:space="preserve"> </w:t>
      </w:r>
      <w:r>
        <w:rPr>
          <w:iCs/>
          <w:i/>
        </w:rPr>
        <w:t xml:space="preserve">Scientific</w:t>
      </w:r>
      <w:r>
        <w:t xml:space="preserve"> </w:t>
      </w:r>
      <w:r>
        <w:rPr>
          <w:iCs/>
          <w:i/>
        </w:rPr>
        <w:t xml:space="preserve">Reports</w:t>
      </w:r>
      <w:r>
        <w:t xml:space="preserve">, 7, 1-10.</w:t>
      </w:r>
    </w:p>
    <w:p>
      <w:pPr>
        <w:pStyle w:val="BodyText"/>
      </w:pPr>
      <w:r>
        <w:t xml:space="preserve">Viswanathan, G. M.,</w:t>
      </w:r>
      <w:r>
        <w:t xml:space="preserve"> </w:t>
      </w:r>
      <w:r>
        <w:rPr>
          <w:iCs/>
          <w:i/>
        </w:rPr>
        <w:t xml:space="preserve">et al</w:t>
      </w:r>
      <w:r>
        <w:t xml:space="preserve">. (2011). The Physics of Foraging: An</w:t>
      </w:r>
      <w:r>
        <w:t xml:space="preserve"> </w:t>
      </w:r>
      <w:r>
        <w:t xml:space="preserve">Introduction to Biological Encounters and Random Searches. Cambridge,</w:t>
      </w:r>
      <w:r>
        <w:t xml:space="preserve"> </w:t>
      </w:r>
      <w:r>
        <w:t xml:space="preserve">Cambridge University Press.</w:t>
      </w:r>
    </w:p>
    <w:p>
      <w:pPr>
        <w:pStyle w:val="BodyText"/>
      </w:pPr>
      <w:r>
        <w:t xml:space="preserve">Wickham, H. (2016) ggplot2: Elegant Graphics for Data Analysis.</w:t>
      </w:r>
      <w:r>
        <w:t xml:space="preserve"> </w:t>
      </w:r>
      <w:r>
        <w:t xml:space="preserve">Springer-Verlag, New York.</w:t>
      </w:r>
    </w:p>
    <w:bookmarkEnd w:id="35"/>
    <w:sectPr w:rsidR="0048284A" w:rsidSect="00FF67A9">
      <w:pgSz w:h="15840" w:w="12240"/>
      <w:pgMar w:bottom="1440" w:footer="720" w:gutter="0" w:header="720" w:left="1440" w:right="1440" w:top="1440"/>
      <w:cols w:space="720"/>
      <w:titlePg/>
      <w:docGrid w:linePitch="326"/>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B48AB3C0"/>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15:restartNumberingAfterBreak="0" w:abstractNumId="1">
    <w:nsid w:val="FFFFFF7C"/>
    <w:multiLevelType w:val="singleLevel"/>
    <w:tmpl w:val="05A26D58"/>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18BC22DE"/>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663CA652"/>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9BB2700E"/>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E96ADD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F634EF1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41C82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DCF65D72"/>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62BE6AF4"/>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74602640"/>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2FB454C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2AAC8E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31E1B"/>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rsid w:val="000500E6"/>
    <w:pPr>
      <w:keepNext/>
      <w:keepLines/>
      <w:pBdr>
        <w:bottom w:color="auto" w:space="1" w:sz="12" w:val="single"/>
      </w:pBdr>
      <w:spacing w:after="120" w:before="320"/>
      <w:outlineLvl w:val="1"/>
    </w:pPr>
    <w:rPr>
      <w:rFonts w:asciiTheme="majorHAnsi" w:cstheme="majorBidi" w:eastAsiaTheme="majorEastAsia" w:hAnsiTheme="majorHAnsi"/>
      <w:b/>
      <w:bCs/>
      <w:color w:val="345A8A"/>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C21B0"/>
    <w:pPr>
      <w:spacing w:after="180"/>
    </w:pPr>
  </w:style>
  <w:style w:customStyle="1" w:styleId="FirstParagraph" w:type="paragraph">
    <w:name w:val="First Paragraph"/>
    <w:basedOn w:val="BodyText"/>
    <w:next w:val="BodyText"/>
    <w:qFormat/>
    <w:rsid w:val="00E546F2"/>
    <w:pPr>
      <w:spacing w:before="180"/>
    </w:pPr>
  </w:style>
  <w:style w:customStyle="1" w:styleId="Compact" w:type="paragraph">
    <w:name w:val="Compact"/>
    <w:basedOn w:val="BodyText"/>
    <w:qFormat/>
    <w:rsid w:val="00E13652"/>
    <w:pPr>
      <w:spacing w:after="36" w:before="36"/>
    </w:pPr>
  </w:style>
  <w:style w:styleId="Title" w:type="paragraph">
    <w:name w:val="Title"/>
    <w:basedOn w:val="Normal"/>
    <w:next w:val="BodyText"/>
    <w:qFormat/>
    <w:rsid w:val="00C57E44"/>
    <w:pPr>
      <w:keepNext/>
      <w:keepLines/>
      <w:pBdr>
        <w:bottom w:color="auto" w:space="1" w:sz="4" w:val="double"/>
      </w:pBdr>
      <w:spacing w:after="240" w:before="480"/>
      <w:jc w:val="center"/>
    </w:pPr>
    <w:rPr>
      <w:rFonts w:asciiTheme="majorHAnsi" w:cstheme="majorBidi" w:eastAsiaTheme="majorEastAsia" w:hAnsiTheme="majorHAnsi"/>
      <w:b/>
      <w:bCs/>
      <w:color w:themeColor="accent1" w:themeShade="B5" w:val="345A8A"/>
      <w:sz w:val="46"/>
      <w:szCs w:val="36"/>
    </w:rPr>
  </w:style>
  <w:style w:styleId="Subtitle" w:type="paragraph">
    <w:name w:val="Subtitle"/>
    <w:basedOn w:val="Title"/>
    <w:next w:val="BodyText"/>
    <w:qFormat/>
    <w:rsid w:val="008F483A"/>
    <w:pPr>
      <w:spacing w:before="240"/>
    </w:pPr>
    <w:rPr>
      <w:sz w:val="30"/>
      <w:szCs w:val="30"/>
    </w:rPr>
  </w:style>
  <w:style w:customStyle="1" w:styleId="Author" w:type="paragraph">
    <w:name w:val="Author"/>
    <w:next w:val="BodyText"/>
    <w:qFormat/>
    <w:rsid w:val="00527610"/>
    <w:pPr>
      <w:keepNext/>
      <w:keepLines/>
      <w:jc w:val="center"/>
    </w:pPr>
  </w:style>
  <w:style w:styleId="Date" w:type="paragraph">
    <w:name w:val="Date"/>
    <w:next w:val="BodyText"/>
    <w:qFormat/>
    <w:rsid w:val="00E857C9"/>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48284A"/>
    <w:pPr>
      <w:ind w:hanging="720" w:left="720"/>
    </w:pPr>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basedOn w:val="TableNormal"/>
    <w:unhideWhenUsed/>
    <w:qFormat/>
    <w:rsid w:val="00D737A6"/>
    <w:pPr>
      <w:widowControl w:val="0"/>
      <w:spacing w:after="100" w:afterAutospacing="1" w:before="100" w:beforeAutospacing="1"/>
      <w:jc w:val="center"/>
    </w:pPr>
    <w:rPr>
      <w:rFonts w:ascii="Consolas" w:hAnsi="Consolas"/>
      <w:sz w:val="22"/>
    </w:rPr>
    <w:tblPr>
      <w:tblBorders>
        <w:bottom w:color="auto" w:space="0" w:sz="4" w:val="single"/>
      </w:tblBorders>
    </w:tblPr>
    <w:tcPr>
      <w:shd w:color="auto" w:fill="F5F5F5" w:val="clear"/>
      <w:vAlign w:val="center"/>
    </w:tcPr>
    <w:tblStylePr w:type="firstRow">
      <w:tblPr/>
      <w:tcPr>
        <w:tcBorders>
          <w:top w:color="auto" w:space="0" w:sz="4" w:val="single"/>
          <w:left w:val="nil"/>
          <w:bottom w:color="auto" w:space="0" w:sz="4" w:val="single"/>
          <w:right w:val="nil"/>
          <w:insideH w:val="nil"/>
          <w:insideV w:val="nil"/>
          <w:tl2br w:val="nil"/>
          <w:tr2bl w:val="nil"/>
        </w:tcBorders>
        <w:shd w:color="auto" w:fill="F5F5F5" w:val="clear"/>
      </w:tcPr>
    </w:tblStylePr>
    <w:tblStylePr w:type="firstCol">
      <w:pPr>
        <w:jc w:val="center"/>
      </w:p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ompact"/>
    <w:rsid w:val="00731E1B"/>
    <w:pPr>
      <w:keepNext/>
      <w:shd w:color="auto" w:fill="F8F8F8" w:val="clear"/>
    </w:pPr>
  </w:style>
  <w:style w:customStyle="1" w:styleId="ImageCaption" w:type="paragraph">
    <w:name w:val="Image Caption"/>
    <w:basedOn w:val="Caption"/>
  </w:style>
  <w:style w:customStyle="1" w:styleId="Figure" w:type="paragraph">
    <w:name w:val="Figure"/>
    <w:basedOn w:val="Normal"/>
    <w:rsid w:val="00485101"/>
    <w:pPr>
      <w:jc w:val="center"/>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D2A2E"/>
    <w:rPr>
      <w:shd w:color="auto" w:fill="F8F8F8" w:val="clear"/>
    </w:rPr>
  </w:style>
  <w:style w:styleId="FootnoteReference" w:type="character">
    <w:name w:val="footnote reference"/>
    <w:basedOn w:val="CaptionChar"/>
    <w:rPr>
      <w:vertAlign w:val="superscript"/>
    </w:rPr>
  </w:style>
  <w:style w:styleId="Hyperlink" w:type="character">
    <w:name w:val="Hyperlink"/>
    <w:basedOn w:val="CaptionChar"/>
    <w:rsid w:val="00ED5205"/>
    <w:rPr>
      <w:rFonts w:asciiTheme="minorHAnsi" w:hAnsiTheme="minorHAnsi"/>
      <w:color w:val="345A8A"/>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7D2A2E"/>
    <w:pPr>
      <w:shd w:color="auto" w:fill="F8F8F8" w:val="clear"/>
      <w:wordWrap w:val="0"/>
      <w:spacing w:before="20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sid w:val="000500E6"/>
    <w:rPr>
      <w:rFonts w:ascii="Consolas" w:hAnsi="Consolas"/>
      <w:color w:val="006C31"/>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860EC6"/>
    <w:rPr>
      <w:rFonts w:ascii="Consolas" w:hAnsi="Consolas"/>
      <w:i w:val="0"/>
      <w:color w:val="auto"/>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sid w:val="00BC2B9B"/>
    <w:rPr>
      <w:rFonts w:ascii="Consolas" w:hAnsi="Consolas"/>
      <w:color w:themeColor="accent6" w:themeShade="80" w:val="984806"/>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5C21B0"/>
  </w:style>
  <w:style w:styleId="Header" w:type="paragraph">
    <w:name w:val="header"/>
    <w:basedOn w:val="Normal"/>
    <w:link w:val="HeaderChar"/>
    <w:unhideWhenUsed/>
    <w:rsid w:val="00FF67A9"/>
    <w:pPr>
      <w:tabs>
        <w:tab w:pos="4513" w:val="center"/>
        <w:tab w:pos="9026" w:val="right"/>
      </w:tabs>
      <w:spacing w:after="0"/>
    </w:pPr>
  </w:style>
  <w:style w:customStyle="1" w:styleId="HeaderChar" w:type="character">
    <w:name w:val="Header Char"/>
    <w:basedOn w:val="DefaultParagraphFont"/>
    <w:link w:val="Header"/>
    <w:rsid w:val="00FF67A9"/>
  </w:style>
  <w:style w:styleId="Footer" w:type="paragraph">
    <w:name w:val="footer"/>
    <w:basedOn w:val="Normal"/>
    <w:link w:val="FooterChar"/>
    <w:unhideWhenUsed/>
    <w:rsid w:val="00FF67A9"/>
    <w:pPr>
      <w:tabs>
        <w:tab w:pos="4513" w:val="center"/>
        <w:tab w:pos="9026" w:val="right"/>
      </w:tabs>
      <w:spacing w:after="0"/>
    </w:pPr>
  </w:style>
  <w:style w:customStyle="1" w:styleId="FooterChar" w:type="character">
    <w:name w:val="Footer Char"/>
    <w:basedOn w:val="DefaultParagraphFont"/>
    <w:link w:val="Footer"/>
    <w:rsid w:val="00FF67A9"/>
  </w:style>
  <w:style w:styleId="TableGrid" w:type="table">
    <w:name w:val="Table Grid"/>
    <w:basedOn w:val="TableNormal"/>
    <w:rsid w:val="00FC392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Light" w:type="table">
    <w:name w:val="Grid Table Light"/>
    <w:basedOn w:val="TableNormal"/>
    <w:rsid w:val="00731E1B"/>
    <w:pPr>
      <w:spacing w:after="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22534">
      <w:bodyDiv w:val="1"/>
      <w:marLeft w:val="0"/>
      <w:marRight w:val="0"/>
      <w:marTop w:val="0"/>
      <w:marBottom w:val="0"/>
      <w:divBdr>
        <w:top w:val="none" w:sz="0" w:space="0" w:color="auto"/>
        <w:left w:val="none" w:sz="0" w:space="0" w:color="auto"/>
        <w:bottom w:val="none" w:sz="0" w:space="0" w:color="auto"/>
        <w:right w:val="none" w:sz="0" w:space="0" w:color="auto"/>
      </w:divBdr>
    </w:div>
    <w:div w:id="909927946">
      <w:bodyDiv w:val="1"/>
      <w:marLeft w:val="0"/>
      <w:marRight w:val="0"/>
      <w:marTop w:val="0"/>
      <w:marBottom w:val="0"/>
      <w:divBdr>
        <w:top w:val="none" w:sz="0" w:space="0" w:color="auto"/>
        <w:left w:val="none" w:sz="0" w:space="0" w:color="auto"/>
        <w:bottom w:val="none" w:sz="0" w:space="0" w:color="auto"/>
        <w:right w:val="none" w:sz="0" w:space="0" w:color="auto"/>
      </w:divBdr>
    </w:div>
    <w:div w:id="13907686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20" Type="http://schemas.openxmlformats.org/officeDocument/2006/relationships/image" Target="media/rId20.png"/>
<Relationship Id="rId23" Type="http://schemas.openxmlformats.org/officeDocument/2006/relationships/hyperlink" Target="pt1_introduction.html" TargetMode="External"/>
<Relationship Id="rId33" Type="http://schemas.openxmlformats.org/officeDocument/2006/relationships/hyperlink" Target="pt1_introduction.html#data-formatting" TargetMode="External"/>
<Relationship Id="rId28" Type="http://schemas.openxmlformats.org/officeDocument/2006/relationships/hyperlink" Target="pt1_introduction.html#explore-tracks-dataset" TargetMode="External"/>
<Relationship Id="rId24" Type="http://schemas.openxmlformats.org/officeDocument/2006/relationships/hyperlink" Target="pt2_movement_patterns.html" TargetMode="External"/>
<Relationship Id="rId25" Type="http://schemas.openxmlformats.org/officeDocument/2006/relationships/hyperlink" Target="pt3_space_use_patterns.html" TargetMode="External"/>
<Relationship Id="rId26" Type="http://schemas.openxmlformats.org/officeDocument/2006/relationships/hyperlink" Target="pt4_intraspecific_movements.html" TargetMode="External"/>
<Relationship Id="rId34" Type="http://schemas.openxmlformats.org/officeDocument/2006/relationships/image" Target="media/03b781d85d6108c0b60b1ea515830f43b88019bc.png"/>
</Relationships>

</file>

<file path=word/_rels/footnotes.xml.rels><?xml version="1.0" encoding="UTF-8" standalone="yes"?>

<Relationships  xmlns="http://schemas.openxmlformats.org/package/2006/relationships">
<Relationship Id="rId23" Type="http://schemas.openxmlformats.org/officeDocument/2006/relationships/hyperlink" Target="pt1_introduction.html" TargetMode="External"/>
<Relationship Id="rId33" Type="http://schemas.openxmlformats.org/officeDocument/2006/relationships/hyperlink" Target="pt1_introduction.html#data-formatting" TargetMode="External"/>
<Relationship Id="rId28" Type="http://schemas.openxmlformats.org/officeDocument/2006/relationships/hyperlink" Target="pt1_introduction.html#explore-tracks-dataset" TargetMode="External"/>
<Relationship Id="rId24" Type="http://schemas.openxmlformats.org/officeDocument/2006/relationships/hyperlink" Target="pt2_movement_patterns.html" TargetMode="External"/>
<Relationship Id="rId25" Type="http://schemas.openxmlformats.org/officeDocument/2006/relationships/hyperlink" Target="pt3_space_use_patterns.html" TargetMode="External"/>
<Relationship Id="rId26" Type="http://schemas.openxmlformats.org/officeDocument/2006/relationships/hyperlink" Target="pt4_intraspecific_movemen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1695</TotalTime>
  <Pages>3</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PhysMove: Introduction</dc:title>
  <dc:creator>Hannah Calich, Jorge Rodríguez, Víctor Eguíluz &amp; Ana Sequeira</dc:creator>
  <cp:keywords/>
  <dcterms:created xsi:type="dcterms:W3CDTF">2024-09-02T07:35:58Z</dcterms:created>
  <dcterms:modified xsi:type="dcterms:W3CDTF">2024-09-02T17:36:00Z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2024-09-02</vt:lpwstr>
  </property>
  <property fmtid="{D5CDD505-2E9C-101B-9397-08002B2CF9AE}" pid="3" name="output">
    <vt:lpwstr/>
  </property>
  <property fmtid="{D5CDD505-2E9C-101B-9397-08002B2CF9AE}" pid="4" name="vignette">
    <vt:lpwstr>% % %</vt:lpwstr>
  </property>
</Properties>
</file>