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7C707" w14:textId="627753A7" w:rsidR="003112D8" w:rsidRDefault="00230895">
      <w:pPr>
        <w:pStyle w:val="Title"/>
      </w:pPr>
      <w:r>
        <w:t>PhysMove: Intraspecific Movements</w:t>
      </w:r>
    </w:p>
    <w:p w14:paraId="1CAB1BCE" w14:textId="1C59C6DA" w:rsidR="003112D8" w:rsidRDefault="00230895">
      <w:pPr>
        <w:pStyle w:val="Author"/>
      </w:pPr>
      <w:r>
        <w:t>Hannah Calich, Jorge Rodríguez, Víctor Eguíluz &amp; Ana Sequeira</w:t>
      </w:r>
    </w:p>
    <w:p w14:paraId="6B567384" w14:textId="16D10902" w:rsidR="003112D8" w:rsidRDefault="006C52A9">
      <w:pPr>
        <w:pStyle w:val="Date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F02AB9E" wp14:editId="7AEE9FD1">
            <wp:simplePos x="0" y="0"/>
            <wp:positionH relativeFrom="column">
              <wp:posOffset>4376865</wp:posOffset>
            </wp:positionH>
            <wp:positionV relativeFrom="paragraph">
              <wp:posOffset>93980</wp:posOffset>
            </wp:positionV>
            <wp:extent cx="1715135" cy="173037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895">
        <w:t>Last updated: 2023-06-14</w:t>
      </w:r>
    </w:p>
    <w:p w14:paraId="6E9A8C4E" w14:textId="5EC2EF44" w:rsidR="003112D8" w:rsidRDefault="003112D8">
      <w:pPr>
        <w:pStyle w:val="FirstParagraph"/>
      </w:pPr>
    </w:p>
    <w:p w14:paraId="3A058831" w14:textId="77777777" w:rsidR="003112D8" w:rsidRDefault="00230895">
      <w:pPr>
        <w:pStyle w:val="Heading2"/>
      </w:pPr>
      <w:bookmarkStart w:id="0" w:name="index"/>
      <w:r>
        <w:t>Index</w:t>
      </w:r>
      <w:bookmarkEnd w:id="0"/>
    </w:p>
    <w:p w14:paraId="0146A362" w14:textId="5025B368" w:rsidR="003112D8" w:rsidRDefault="00230895">
      <w:pPr>
        <w:pStyle w:val="Compact"/>
        <w:numPr>
          <w:ilvl w:val="0"/>
          <w:numId w:val="16"/>
        </w:numPr>
      </w:pPr>
      <w:hyperlink r:id="rId8">
        <w:r>
          <w:rPr>
            <w:rStyle w:val="Hyperlink"/>
          </w:rPr>
          <w:t>Introduction and preparing the data</w:t>
        </w:r>
      </w:hyperlink>
    </w:p>
    <w:p w14:paraId="0DF6A971" w14:textId="271423AE" w:rsidR="003112D8" w:rsidRDefault="00230895">
      <w:pPr>
        <w:pStyle w:val="Compact"/>
        <w:numPr>
          <w:ilvl w:val="0"/>
          <w:numId w:val="16"/>
        </w:numPr>
      </w:pPr>
      <w:hyperlink r:id="rId9">
        <w:r>
          <w:rPr>
            <w:rStyle w:val="Hyperlink"/>
          </w:rPr>
          <w:t>Movement patterns</w:t>
        </w:r>
      </w:hyperlink>
    </w:p>
    <w:p w14:paraId="4ACF086D" w14:textId="3FAD7F88" w:rsidR="003112D8" w:rsidRDefault="00230895">
      <w:pPr>
        <w:pStyle w:val="Compact"/>
        <w:numPr>
          <w:ilvl w:val="0"/>
          <w:numId w:val="16"/>
        </w:numPr>
      </w:pPr>
      <w:hyperlink r:id="rId10">
        <w:r>
          <w:rPr>
            <w:rStyle w:val="Hyperlink"/>
          </w:rPr>
          <w:t>Space-use patterns</w:t>
        </w:r>
      </w:hyperlink>
    </w:p>
    <w:p w14:paraId="038321AB" w14:textId="5639593D" w:rsidR="003112D8" w:rsidRDefault="00230895">
      <w:pPr>
        <w:pStyle w:val="Compact"/>
        <w:numPr>
          <w:ilvl w:val="0"/>
          <w:numId w:val="16"/>
        </w:numPr>
      </w:pPr>
      <w:hyperlink r:id="rId11">
        <w:r>
          <w:rPr>
            <w:rStyle w:val="Hyperlink"/>
          </w:rPr>
          <w:t>Intraspecific movements</w:t>
        </w:r>
      </w:hyperlink>
    </w:p>
    <w:p w14:paraId="58AF53AB" w14:textId="77777777" w:rsidR="003112D8" w:rsidRDefault="00230895">
      <w:pPr>
        <w:pStyle w:val="Heading2"/>
      </w:pPr>
      <w:bookmarkStart w:id="1" w:name="intraspecific-movements"/>
      <w:r>
        <w:rPr>
          <w:i/>
        </w:rPr>
        <w:t>Intraspecific movements</w:t>
      </w:r>
      <w:bookmarkEnd w:id="1"/>
    </w:p>
    <w:p w14:paraId="5929A9F3" w14:textId="77777777" w:rsidR="003112D8" w:rsidRDefault="00230895">
      <w:pPr>
        <w:pStyle w:val="FirstParagraph"/>
      </w:pPr>
      <w:r>
        <w:t>PhysMove includes three metrics for quan</w:t>
      </w:r>
      <w:r>
        <w:t>tifying intraspecific movement patterns that are based on four functions, including:</w:t>
      </w:r>
    </w:p>
    <w:p w14:paraId="2E69BF85" w14:textId="0231238F" w:rsidR="003112D8" w:rsidRDefault="00230895">
      <w:pPr>
        <w:pStyle w:val="Compact"/>
        <w:numPr>
          <w:ilvl w:val="0"/>
          <w:numId w:val="17"/>
        </w:numPr>
      </w:pPr>
      <w:hyperlink r:id="rId12" w:anchor="track-dispersion">
        <w:r>
          <w:rPr>
            <w:rStyle w:val="Hyperlink"/>
          </w:rPr>
          <w:t>Track dispersion</w:t>
        </w:r>
      </w:hyperlink>
      <w:r>
        <w:t xml:space="preserve">: </w:t>
      </w:r>
      <w:r>
        <w:rPr>
          <w:rStyle w:val="VerbatimChar"/>
        </w:rPr>
        <w:t>GyrationRad()</w:t>
      </w:r>
      <w:r>
        <w:t xml:space="preserve"> and </w:t>
      </w:r>
      <w:r>
        <w:rPr>
          <w:rStyle w:val="VerbatimChar"/>
        </w:rPr>
        <w:t>PlotPDF()</w:t>
      </w:r>
    </w:p>
    <w:p w14:paraId="29E52EE7" w14:textId="299B1F7E" w:rsidR="003112D8" w:rsidRDefault="00230895">
      <w:pPr>
        <w:pStyle w:val="Compact"/>
        <w:numPr>
          <w:ilvl w:val="0"/>
          <w:numId w:val="17"/>
        </w:numPr>
      </w:pPr>
      <w:hyperlink r:id="rId13" w:anchor="track-entropy">
        <w:r>
          <w:rPr>
            <w:rStyle w:val="Hyperlink"/>
          </w:rPr>
          <w:t>Track entropy</w:t>
        </w:r>
      </w:hyperlink>
      <w:r>
        <w:t xml:space="preserve">: </w:t>
      </w:r>
      <w:r>
        <w:rPr>
          <w:rStyle w:val="VerbatimChar"/>
        </w:rPr>
        <w:t>Entropy()</w:t>
      </w:r>
      <w:r>
        <w:t xml:space="preserve"> and </w:t>
      </w:r>
      <w:r>
        <w:rPr>
          <w:rStyle w:val="VerbatimChar"/>
        </w:rPr>
        <w:t>PlotPDF()</w:t>
      </w:r>
    </w:p>
    <w:p w14:paraId="584528BC" w14:textId="20FE12B1" w:rsidR="003112D8" w:rsidRDefault="00230895">
      <w:pPr>
        <w:pStyle w:val="Compact"/>
        <w:numPr>
          <w:ilvl w:val="0"/>
          <w:numId w:val="17"/>
        </w:numPr>
      </w:pPr>
      <w:hyperlink r:id="rId14" w:anchor="track-predictability">
        <w:r>
          <w:rPr>
            <w:rStyle w:val="Hyperlink"/>
          </w:rPr>
          <w:t>Track predictability</w:t>
        </w:r>
      </w:hyperlink>
      <w:r>
        <w:t xml:space="preserve">: </w:t>
      </w:r>
      <w:r>
        <w:rPr>
          <w:rStyle w:val="VerbatimChar"/>
        </w:rPr>
        <w:t>Predictability()</w:t>
      </w:r>
      <w:r>
        <w:t xml:space="preserve"> and </w:t>
      </w:r>
      <w:r>
        <w:rPr>
          <w:rStyle w:val="VerbatimChar"/>
        </w:rPr>
        <w:t>PlotPDF()</w:t>
      </w:r>
    </w:p>
    <w:p w14:paraId="7038A5D0" w14:textId="77777777" w:rsidR="003112D8" w:rsidRDefault="00230895">
      <w:pPr>
        <w:pStyle w:val="Heading2"/>
      </w:pPr>
      <w:bookmarkStart w:id="2" w:name="track-dispersion"/>
      <w:r>
        <w:t>Track dispersion</w:t>
      </w:r>
      <w:bookmarkEnd w:id="2"/>
    </w:p>
    <w:p w14:paraId="483DFD85" w14:textId="77777777" w:rsidR="003112D8" w:rsidRDefault="00230895">
      <w:pPr>
        <w:pStyle w:val="FirstParagraph"/>
      </w:pPr>
      <w:r>
        <w:t xml:space="preserve">The </w:t>
      </w:r>
      <w:r>
        <w:rPr>
          <w:rStyle w:val="VerbatimChar"/>
        </w:rPr>
        <w:t>GyrationRad()</w:t>
      </w:r>
      <w:r>
        <w:t xml:space="preserve"> function calculates the dispersion (i.e., t</w:t>
      </w:r>
      <w:r>
        <w:t>he gyration radius) of each track in a dataset (Figure V16).</w:t>
      </w:r>
    </w:p>
    <w:p w14:paraId="0D33B2F5" w14:textId="77777777" w:rsidR="003112D8" w:rsidRDefault="00230895">
      <w:pPr>
        <w:pStyle w:val="BodyText"/>
      </w:pPr>
      <w:r>
        <w:rPr>
          <w:rStyle w:val="VerbatimChar"/>
        </w:rPr>
        <w:t>GyrationRad()</w:t>
      </w:r>
      <w:r>
        <w:t xml:space="preserve"> requires a data frame with telemetry data (as described above) and includes two optional parameters:</w:t>
      </w:r>
    </w:p>
    <w:p w14:paraId="13651A1A" w14:textId="77777777" w:rsidR="003112D8" w:rsidRDefault="00230895">
      <w:pPr>
        <w:pStyle w:val="Compact"/>
        <w:numPr>
          <w:ilvl w:val="0"/>
          <w:numId w:val="18"/>
        </w:numPr>
      </w:pPr>
      <w:r>
        <w:rPr>
          <w:rStyle w:val="VerbatimChar"/>
        </w:rPr>
        <w:t>map</w:t>
      </w:r>
      <w:r>
        <w:t>: create a map (</w:t>
      </w:r>
      <w:r>
        <w:rPr>
          <w:rStyle w:val="VerbatimChar"/>
        </w:rPr>
        <w:t>map=TRUE</w:t>
      </w:r>
      <w:r>
        <w:t>, by default), and</w:t>
      </w:r>
    </w:p>
    <w:p w14:paraId="28A71AA8" w14:textId="77777777" w:rsidR="003112D8" w:rsidRDefault="00230895">
      <w:pPr>
        <w:pStyle w:val="Compact"/>
        <w:numPr>
          <w:ilvl w:val="0"/>
          <w:numId w:val="18"/>
        </w:numPr>
      </w:pPr>
      <w:r>
        <w:rPr>
          <w:rStyle w:val="VerbatimChar"/>
        </w:rPr>
        <w:t>mapCol</w:t>
      </w:r>
      <w:r>
        <w:t>: change the colour of the p</w:t>
      </w:r>
      <w:r>
        <w:t>oints, which indicate average track location, and circles, which indicate how far each animal dispersed (</w:t>
      </w:r>
      <w:r>
        <w:rPr>
          <w:rStyle w:val="VerbatimChar"/>
        </w:rPr>
        <w:t>mapCol=c(“Black”, “Red”)</w:t>
      </w:r>
      <w:r>
        <w:t>, by default). create</w:t>
      </w:r>
    </w:p>
    <w:p w14:paraId="2DB67640" w14:textId="77777777" w:rsidR="003112D8" w:rsidRDefault="00230895">
      <w:pPr>
        <w:pStyle w:val="FirstParagraph"/>
      </w:pPr>
      <w:r>
        <w:rPr>
          <w:rStyle w:val="VerbatimChar"/>
        </w:rPr>
        <w:t>GyrationRad()</w:t>
      </w:r>
      <w:r>
        <w:t xml:space="preserve"> outputs a data frame of the results, which were used to create each map, including:</w:t>
      </w:r>
    </w:p>
    <w:p w14:paraId="4BE33936" w14:textId="77777777" w:rsidR="003112D8" w:rsidRDefault="00230895">
      <w:pPr>
        <w:pStyle w:val="Compact"/>
        <w:numPr>
          <w:ilvl w:val="0"/>
          <w:numId w:val="19"/>
        </w:numPr>
      </w:pPr>
      <w:r>
        <w:rPr>
          <w:i/>
        </w:rPr>
        <w:t>ref</w:t>
      </w:r>
      <w:r>
        <w:t>: th</w:t>
      </w:r>
      <w:r>
        <w:t>e reference id for each track,</w:t>
      </w:r>
    </w:p>
    <w:p w14:paraId="67169CCA" w14:textId="77777777" w:rsidR="003112D8" w:rsidRDefault="00230895">
      <w:pPr>
        <w:pStyle w:val="Compact"/>
        <w:numPr>
          <w:ilvl w:val="0"/>
          <w:numId w:val="19"/>
        </w:numPr>
      </w:pPr>
      <w:r>
        <w:rPr>
          <w:i/>
        </w:rPr>
        <w:t>avg long</w:t>
      </w:r>
      <w:r>
        <w:t xml:space="preserve"> and </w:t>
      </w:r>
      <w:r>
        <w:rPr>
          <w:i/>
        </w:rPr>
        <w:t>avg lat</w:t>
      </w:r>
      <w:r>
        <w:t>: the average longitude and latitude coordinates in degrees for each track, and</w:t>
      </w:r>
    </w:p>
    <w:p w14:paraId="6989D8DB" w14:textId="77777777" w:rsidR="003112D8" w:rsidRDefault="00230895">
      <w:pPr>
        <w:pStyle w:val="Compact"/>
        <w:numPr>
          <w:ilvl w:val="0"/>
          <w:numId w:val="19"/>
        </w:numPr>
      </w:pPr>
      <w:r>
        <w:rPr>
          <w:i/>
        </w:rPr>
        <w:lastRenderedPageBreak/>
        <w:t>rG</w:t>
      </w:r>
      <w:r>
        <w:t xml:space="preserve"> </w:t>
      </w:r>
      <w:r>
        <w:rPr>
          <w:i/>
        </w:rPr>
        <w:t>(km)</w:t>
      </w:r>
      <w:r>
        <w:t>: the gyration radius in kilometres for each track.</w:t>
      </w:r>
    </w:p>
    <w:p w14:paraId="685143D7" w14:textId="77777777" w:rsidR="003112D8" w:rsidRDefault="00230895">
      <w:pPr>
        <w:pStyle w:val="SourceCode"/>
      </w:pPr>
      <w:r>
        <w:rPr>
          <w:rStyle w:val="CommentTok"/>
        </w:rPr>
        <w:t># Calculate the dispersion of each track in the tracks dataset</w:t>
      </w:r>
      <w:r>
        <w:br/>
      </w:r>
      <w:r>
        <w:rPr>
          <w:rStyle w:val="NormalTok"/>
        </w:rPr>
        <w:t>GR &lt;-</w:t>
      </w:r>
      <w:r>
        <w:rPr>
          <w:rStyle w:val="StringTok"/>
        </w:rPr>
        <w:t xml:space="preserve"> </w:t>
      </w:r>
      <w:r>
        <w:rPr>
          <w:rStyle w:val="KeywordTok"/>
        </w:rPr>
        <w:t>GyrationRad</w:t>
      </w:r>
      <w:r>
        <w:rPr>
          <w:rStyle w:val="NormalTok"/>
        </w:rPr>
        <w:t>(tracks)</w:t>
      </w:r>
    </w:p>
    <w:p w14:paraId="10A479BB" w14:textId="77777777" w:rsidR="003112D8" w:rsidRDefault="00230895">
      <w:pPr>
        <w:pStyle w:val="FirstParagraph"/>
      </w:pPr>
      <w:r>
        <w:rPr>
          <w:noProof/>
        </w:rPr>
        <w:drawing>
          <wp:inline distT="0" distB="0" distL="0" distR="0" wp14:anchorId="17957F78" wp14:editId="5D47CB53">
            <wp:extent cx="5943600" cy="4245428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/Users/U1133331/AppData/Local/Temp/RtmpeAOdcd/preview-dd817b11481.dir/intraspecific_movements_files/figure-docx/gyrad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EC09F" w14:textId="77777777" w:rsidR="003112D8" w:rsidRDefault="00230895">
      <w:pPr>
        <w:pStyle w:val="BodyText"/>
      </w:pPr>
      <w:r>
        <w:rPr>
          <w:b/>
        </w:rPr>
        <w:t>Figure</w:t>
      </w:r>
      <w:r>
        <w:t xml:space="preserve"> </w:t>
      </w:r>
      <w:r>
        <w:rPr>
          <w:b/>
        </w:rPr>
        <w:t>V16</w:t>
      </w:r>
      <w:r>
        <w:t xml:space="preserve"> Map illustrating dispersion patterns for </w:t>
      </w:r>
      <w:r>
        <w:rPr>
          <w:rStyle w:val="VerbatimChar"/>
        </w:rPr>
        <w:t>tracks</w:t>
      </w:r>
      <w:r>
        <w:t xml:space="preserve"> dataset using </w:t>
      </w:r>
      <w:r>
        <w:rPr>
          <w:rStyle w:val="VerbatimChar"/>
        </w:rPr>
        <w:t>GyrationRad()</w:t>
      </w:r>
      <w:r>
        <w:t xml:space="preserve"> default parameters. Black points represent the </w:t>
      </w:r>
      <w:r>
        <w:t>mean location of each track and red circles represent how far each track dispersed (i.e., their gyration radius).</w:t>
      </w:r>
    </w:p>
    <w:p w14:paraId="4C904464" w14:textId="77777777" w:rsidR="003112D8" w:rsidRDefault="00230895">
      <w:pPr>
        <w:pStyle w:val="SourceCode"/>
      </w:pPr>
      <w:r>
        <w:rPr>
          <w:rStyle w:val="CommentTok"/>
        </w:rPr>
        <w:t># Preview the first 6 rows of the gyration radius dataset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>(GR)</w:t>
      </w:r>
      <w:r>
        <w:br/>
      </w:r>
      <w:r>
        <w:rPr>
          <w:rStyle w:val="CommentTok"/>
        </w:rPr>
        <w:t>#&gt;      ref   avg long    avg lat   rG (km)</w:t>
      </w:r>
      <w:r>
        <w:br/>
      </w:r>
      <w:r>
        <w:rPr>
          <w:rStyle w:val="CommentTok"/>
        </w:rPr>
        <w:t>#&gt; 1      1 -0.2276723 -1.14006</w:t>
      </w:r>
      <w:r>
        <w:rPr>
          <w:rStyle w:val="CommentTok"/>
        </w:rPr>
        <w:t>12  92.80884</w:t>
      </w:r>
      <w:r>
        <w:br/>
      </w:r>
      <w:r>
        <w:rPr>
          <w:rStyle w:val="CommentTok"/>
        </w:rPr>
        <w:t>#&gt; 413    2  0.5514736 -1.3451059 132.77994</w:t>
      </w:r>
      <w:r>
        <w:br/>
      </w:r>
      <w:r>
        <w:rPr>
          <w:rStyle w:val="CommentTok"/>
        </w:rPr>
        <w:t>#&gt; 910    3  1.1250293 -0.3847730 108.45032</w:t>
      </w:r>
      <w:r>
        <w:br/>
      </w:r>
      <w:r>
        <w:rPr>
          <w:rStyle w:val="CommentTok"/>
        </w:rPr>
        <w:t>#&gt; 1568   4  1.7190069 -0.1784736 104.12900</w:t>
      </w:r>
      <w:r>
        <w:br/>
      </w:r>
      <w:r>
        <w:rPr>
          <w:rStyle w:val="CommentTok"/>
        </w:rPr>
        <w:t>#&gt; 2494   5  0.7674021 -0.1059346  68.01475</w:t>
      </w:r>
      <w:r>
        <w:br/>
      </w:r>
      <w:r>
        <w:rPr>
          <w:rStyle w:val="CommentTok"/>
        </w:rPr>
        <w:t>#&gt; 2855   6  2.3357980  0.7186781  94.56956</w:t>
      </w:r>
    </w:p>
    <w:p w14:paraId="559C85BF" w14:textId="77777777" w:rsidR="003112D8" w:rsidRDefault="00230895">
      <w:pPr>
        <w:pStyle w:val="Heading3"/>
      </w:pPr>
      <w:bookmarkStart w:id="3" w:name="X22e3151f1f97473318c8f234b684b20a17ef314"/>
      <w:r>
        <w:t>Probability density fun</w:t>
      </w:r>
      <w:r>
        <w:t>ction of gyration radius results</w:t>
      </w:r>
      <w:bookmarkEnd w:id="3"/>
    </w:p>
    <w:p w14:paraId="70C3CCEC" w14:textId="77777777" w:rsidR="003112D8" w:rsidRDefault="00230895">
      <w:pPr>
        <w:pStyle w:val="FirstParagraph"/>
      </w:pPr>
      <w:r>
        <w:t xml:space="preserve">A pdf of the results from </w:t>
      </w:r>
      <w:r>
        <w:rPr>
          <w:rStyle w:val="VerbatimChar"/>
        </w:rPr>
        <w:t>GyrationRad()</w:t>
      </w:r>
      <w:r>
        <w:t xml:space="preserve"> can be plotted with the </w:t>
      </w:r>
      <w:r>
        <w:rPr>
          <w:rStyle w:val="VerbatimChar"/>
        </w:rPr>
        <w:t>PlotPDF()</w:t>
      </w:r>
      <w:r>
        <w:t xml:space="preserve"> function when the </w:t>
      </w:r>
      <w:r>
        <w:rPr>
          <w:rStyle w:val="VerbatimChar"/>
        </w:rPr>
        <w:t>desc</w:t>
      </w:r>
      <w:r>
        <w:t xml:space="preserve"> parameter is set to “GyrationRad” (Figure V17).</w:t>
      </w:r>
    </w:p>
    <w:p w14:paraId="22996017" w14:textId="77777777" w:rsidR="003112D8" w:rsidRDefault="00230895">
      <w:pPr>
        <w:pStyle w:val="SourceCode"/>
      </w:pPr>
      <w:r>
        <w:rPr>
          <w:rStyle w:val="CommentTok"/>
        </w:rPr>
        <w:lastRenderedPageBreak/>
        <w:t># Create a pdf plot of gyration radius values</w:t>
      </w:r>
      <w:r>
        <w:br/>
      </w:r>
      <w:r>
        <w:rPr>
          <w:rStyle w:val="NormalTok"/>
        </w:rPr>
        <w:t>pdf.gr &lt;-</w:t>
      </w:r>
      <w:r>
        <w:rPr>
          <w:rStyle w:val="StringTok"/>
        </w:rPr>
        <w:t xml:space="preserve"> </w:t>
      </w:r>
      <w:r>
        <w:rPr>
          <w:rStyle w:val="KeywordTok"/>
        </w:rPr>
        <w:t>PlotPDF</w:t>
      </w:r>
      <w:r>
        <w:rPr>
          <w:rStyle w:val="NormalTok"/>
        </w:rPr>
        <w:t>((GR</w:t>
      </w:r>
      <w:r>
        <w:rPr>
          <w:rStyle w:val="OperatorTok"/>
        </w:rPr>
        <w:t>$</w:t>
      </w:r>
      <w:r>
        <w:rPr>
          <w:rStyle w:val="StringTok"/>
        </w:rPr>
        <w:t>`</w:t>
      </w:r>
      <w:r>
        <w:rPr>
          <w:rStyle w:val="DataTypeTok"/>
        </w:rPr>
        <w:t>rG (km)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rPr>
          <w:rStyle w:val="NormalTok"/>
        </w:rPr>
        <w:t xml:space="preserve">, </w:t>
      </w:r>
      <w:r>
        <w:rPr>
          <w:rStyle w:val="DataTypeTok"/>
        </w:rPr>
        <w:t>desc=</w:t>
      </w:r>
      <w:r>
        <w:rPr>
          <w:rStyle w:val="StringTok"/>
        </w:rPr>
        <w:t>"GyrationRad"</w:t>
      </w:r>
      <w:r>
        <w:rPr>
          <w:rStyle w:val="NormalTok"/>
        </w:rPr>
        <w:t>)</w:t>
      </w:r>
    </w:p>
    <w:p w14:paraId="71080AA0" w14:textId="77777777" w:rsidR="003112D8" w:rsidRDefault="00230895">
      <w:pPr>
        <w:pStyle w:val="FirstParagraph"/>
      </w:pPr>
      <w:r>
        <w:rPr>
          <w:noProof/>
        </w:rPr>
        <w:drawing>
          <wp:inline distT="0" distB="0" distL="0" distR="0" wp14:anchorId="265019DA" wp14:editId="69FC8CD8">
            <wp:extent cx="5943600" cy="4245428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/Users/U1133331/AppData/Local/Temp/RtmpeAOdcd/preview-dd817b11481.dir/intraspecific_movements_files/figure-docx/gyrad%20pdf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8C85C6" w14:textId="77777777" w:rsidR="003112D8" w:rsidRDefault="00230895">
      <w:pPr>
        <w:pStyle w:val="BodyText"/>
      </w:pPr>
      <w:r>
        <w:rPr>
          <w:b/>
        </w:rPr>
        <w:t>Figure</w:t>
      </w:r>
      <w:r>
        <w:t xml:space="preserve"> </w:t>
      </w:r>
      <w:r>
        <w:rPr>
          <w:b/>
        </w:rPr>
        <w:t>V17</w:t>
      </w:r>
      <w:r>
        <w:t xml:space="preserve"> Probability density function (pdf) plot of gyration radius values for </w:t>
      </w:r>
      <w:r>
        <w:rPr>
          <w:rStyle w:val="VerbatimChar"/>
        </w:rPr>
        <w:t>tracks</w:t>
      </w:r>
      <w:r>
        <w:t xml:space="preserve"> dataset determined with </w:t>
      </w:r>
      <w:r>
        <w:rPr>
          <w:rStyle w:val="VerbatimChar"/>
        </w:rPr>
        <w:t>GyrationRad()</w:t>
      </w:r>
      <w:r>
        <w:t xml:space="preserve"> default parameters. Plot created using </w:t>
      </w:r>
      <w:r>
        <w:rPr>
          <w:rStyle w:val="VerbatimChar"/>
        </w:rPr>
        <w:t>PlotPDF()</w:t>
      </w:r>
      <w:r>
        <w:t xml:space="preserve"> with </w:t>
      </w:r>
      <w:r>
        <w:rPr>
          <w:rStyle w:val="VerbatimChar"/>
        </w:rPr>
        <w:t>desc=“GyrationRad”</w:t>
      </w:r>
      <w:r>
        <w:t>.</w:t>
      </w:r>
    </w:p>
    <w:p w14:paraId="15F4DB44" w14:textId="77777777" w:rsidR="003112D8" w:rsidRDefault="00230895">
      <w:pPr>
        <w:pStyle w:val="BodyText"/>
      </w:pPr>
      <m:oMath>
        <m:r>
          <w:rPr>
            <w:rFonts w:ascii="Cambria Math" w:hAnsi="Cambria Math"/>
          </w:rPr>
          <m:t> </m:t>
        </m:r>
      </m:oMath>
      <w:r>
        <w:t xml:space="preserve"> </w:t>
      </w:r>
      <m:oMath>
        <m:r>
          <w:rPr>
            <w:rFonts w:ascii="Cambria Math" w:hAnsi="Cambria Math"/>
          </w:rPr>
          <m:t> </m:t>
        </m:r>
      </m:oMath>
    </w:p>
    <w:p w14:paraId="6D8C8D7A" w14:textId="57E41D6D" w:rsidR="003112D8" w:rsidRDefault="00230895">
      <w:pPr>
        <w:pStyle w:val="BodyText"/>
      </w:pPr>
      <w:hyperlink r:id="rId17">
        <w:r>
          <w:rPr>
            <w:rStyle w:val="Hyperlink"/>
          </w:rPr>
          <w:t>Back to top</w:t>
        </w:r>
      </w:hyperlink>
    </w:p>
    <w:p w14:paraId="441C6FFD" w14:textId="77777777" w:rsidR="003112D8" w:rsidRDefault="00230895">
      <w:pPr>
        <w:pStyle w:val="Heading2"/>
      </w:pPr>
      <w:bookmarkStart w:id="4" w:name="track-entropy"/>
      <w:r>
        <w:t>Track entropy</w:t>
      </w:r>
      <w:bookmarkEnd w:id="4"/>
    </w:p>
    <w:p w14:paraId="120121B1" w14:textId="77777777" w:rsidR="003112D8" w:rsidRDefault="00230895">
      <w:pPr>
        <w:pStyle w:val="FirstParagraph"/>
      </w:pPr>
      <w:r>
        <w:t xml:space="preserve">The </w:t>
      </w:r>
      <w:r>
        <w:rPr>
          <w:rStyle w:val="VerbatimChar"/>
        </w:rPr>
        <w:t>Entropy()</w:t>
      </w:r>
      <w:r>
        <w:t xml:space="preserve"> function calculates track randomness based on the fraction of data points from each track within each grid cell (Figure V18). The resulting entropy scores are then normal</w:t>
      </w:r>
      <w:r>
        <w:t>ised so results can be compared between individuals.</w:t>
      </w:r>
    </w:p>
    <w:p w14:paraId="5076428A" w14:textId="77777777" w:rsidR="003112D8" w:rsidRDefault="00230895">
      <w:pPr>
        <w:pStyle w:val="BodyText"/>
      </w:pPr>
      <w:r>
        <w:rPr>
          <w:rStyle w:val="VerbatimChar"/>
        </w:rPr>
        <w:t>Entropy()</w:t>
      </w:r>
      <w:r>
        <w:t xml:space="preserve"> requires a data frame with telemetry data (as described above) and includes two optional parameters:</w:t>
      </w:r>
    </w:p>
    <w:p w14:paraId="63E38DA9" w14:textId="77777777" w:rsidR="003112D8" w:rsidRDefault="00230895">
      <w:pPr>
        <w:pStyle w:val="Compact"/>
        <w:numPr>
          <w:ilvl w:val="0"/>
          <w:numId w:val="20"/>
        </w:numPr>
      </w:pPr>
      <w:r>
        <w:rPr>
          <w:rStyle w:val="VerbatimChar"/>
        </w:rPr>
        <w:t>gridCell</w:t>
      </w:r>
      <w:r>
        <w:t>: change grid cell size in degrees (</w:t>
      </w:r>
      <w:r>
        <w:rPr>
          <w:rStyle w:val="VerbatimChar"/>
        </w:rPr>
        <w:t>gridCell=0.25</w:t>
      </w:r>
      <w:r>
        <w:t>, by default), and</w:t>
      </w:r>
    </w:p>
    <w:p w14:paraId="2BBE6AF5" w14:textId="77777777" w:rsidR="003112D8" w:rsidRDefault="00230895">
      <w:pPr>
        <w:pStyle w:val="Compact"/>
        <w:numPr>
          <w:ilvl w:val="0"/>
          <w:numId w:val="20"/>
        </w:numPr>
      </w:pPr>
      <w:r>
        <w:rPr>
          <w:rStyle w:val="VerbatimChar"/>
        </w:rPr>
        <w:t>histPlot</w:t>
      </w:r>
      <w:r>
        <w:t>: output</w:t>
      </w:r>
      <w:r>
        <w:t xml:space="preserve"> a histogram (</w:t>
      </w:r>
      <w:r>
        <w:rPr>
          <w:rStyle w:val="VerbatimChar"/>
        </w:rPr>
        <w:t>histPlot=TRUE</w:t>
      </w:r>
      <w:r>
        <w:t>, by default).</w:t>
      </w:r>
    </w:p>
    <w:p w14:paraId="4319F552" w14:textId="77777777" w:rsidR="003112D8" w:rsidRDefault="00230895">
      <w:pPr>
        <w:pStyle w:val="FirstParagraph"/>
      </w:pPr>
      <w:r>
        <w:rPr>
          <w:rStyle w:val="VerbatimChar"/>
        </w:rPr>
        <w:lastRenderedPageBreak/>
        <w:t>Entropy()</w:t>
      </w:r>
      <w:r>
        <w:t xml:space="preserve"> outputs results a data frame with in four columns, including: * </w:t>
      </w:r>
      <w:r>
        <w:rPr>
          <w:i/>
        </w:rPr>
        <w:t>ref</w:t>
      </w:r>
      <w:r>
        <w:t xml:space="preserve">: the reference id for each track, * </w:t>
      </w:r>
      <w:r>
        <w:rPr>
          <w:i/>
        </w:rPr>
        <w:t>normalisedEntropy</w:t>
      </w:r>
      <w:r>
        <w:t xml:space="preserve">: normalised entropy scores, * </w:t>
      </w:r>
      <w:r>
        <w:rPr>
          <w:i/>
        </w:rPr>
        <w:t>indivEntropy</w:t>
      </w:r>
      <w:r>
        <w:t xml:space="preserve">: individual entropy scores before they </w:t>
      </w:r>
      <w:r>
        <w:t xml:space="preserve">were normalised, and * </w:t>
      </w:r>
      <w:r>
        <w:rPr>
          <w:i/>
        </w:rPr>
        <w:t>cellsVisited</w:t>
      </w:r>
      <w:r>
        <w:t>: the number of cells visited by each track.</w:t>
      </w:r>
    </w:p>
    <w:p w14:paraId="55E52D18" w14:textId="77777777" w:rsidR="003112D8" w:rsidRDefault="00230895">
      <w:pPr>
        <w:pStyle w:val="SourceCode"/>
      </w:pPr>
      <w:r>
        <w:rPr>
          <w:rStyle w:val="CommentTok"/>
        </w:rPr>
        <w:t># Calculate track entropy using default parameters</w:t>
      </w:r>
      <w:r>
        <w:br/>
      </w:r>
      <w:r>
        <w:rPr>
          <w:rStyle w:val="NormalTok"/>
        </w:rPr>
        <w:t>Ent &lt;-</w:t>
      </w:r>
      <w:r>
        <w:rPr>
          <w:rStyle w:val="StringTok"/>
        </w:rPr>
        <w:t xml:space="preserve"> </w:t>
      </w:r>
      <w:r>
        <w:rPr>
          <w:rStyle w:val="KeywordTok"/>
        </w:rPr>
        <w:t>Entropy</w:t>
      </w:r>
      <w:r>
        <w:rPr>
          <w:rStyle w:val="NormalTok"/>
        </w:rPr>
        <w:t>(tracks)</w:t>
      </w:r>
    </w:p>
    <w:p w14:paraId="53FFD78C" w14:textId="77777777" w:rsidR="003112D8" w:rsidRDefault="00230895">
      <w:pPr>
        <w:pStyle w:val="FirstParagraph"/>
      </w:pPr>
      <w:r>
        <w:rPr>
          <w:noProof/>
        </w:rPr>
        <w:drawing>
          <wp:inline distT="0" distB="0" distL="0" distR="0" wp14:anchorId="18B433B5" wp14:editId="5430562F">
            <wp:extent cx="5943600" cy="4245428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/Users/U1133331/AppData/Local/Temp/RtmpeAOdcd/preview-dd817b11481.dir/intraspecific_movements_files/figure-docx/ent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CE9EE" w14:textId="77777777" w:rsidR="003112D8" w:rsidRDefault="00230895">
      <w:pPr>
        <w:pStyle w:val="BodyText"/>
      </w:pPr>
      <w:r>
        <w:rPr>
          <w:b/>
        </w:rPr>
        <w:t>Figure</w:t>
      </w:r>
      <w:r>
        <w:t xml:space="preserve"> </w:t>
      </w:r>
      <w:r>
        <w:rPr>
          <w:b/>
        </w:rPr>
        <w:t>S18</w:t>
      </w:r>
      <w:r>
        <w:t xml:space="preserve"> Histogram of normalised entropy scores for </w:t>
      </w:r>
      <w:r>
        <w:rPr>
          <w:rStyle w:val="VerbatimChar"/>
        </w:rPr>
        <w:t>tracks</w:t>
      </w:r>
      <w:r>
        <w:t xml:space="preserve"> dataset created using </w:t>
      </w:r>
      <w:r>
        <w:rPr>
          <w:rStyle w:val="VerbatimChar"/>
        </w:rPr>
        <w:t>Entropy()</w:t>
      </w:r>
      <w:r>
        <w:t xml:space="preserve"> default</w:t>
      </w:r>
      <w:r>
        <w:t xml:space="preserve"> parameters.</w:t>
      </w:r>
    </w:p>
    <w:p w14:paraId="39A721A8" w14:textId="77777777" w:rsidR="003112D8" w:rsidRDefault="00230895">
      <w:pPr>
        <w:pStyle w:val="SourceCode"/>
      </w:pPr>
      <w:r>
        <w:rPr>
          <w:rStyle w:val="CommentTok"/>
        </w:rPr>
        <w:t># Preview the first 6 rows of the entropy results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>(Ent)</w:t>
      </w:r>
      <w:r>
        <w:br/>
      </w:r>
      <w:r>
        <w:rPr>
          <w:rStyle w:val="CommentTok"/>
        </w:rPr>
        <w:t>#&gt;   ref normalisedEntropy indivEntropy cellsVisited</w:t>
      </w:r>
      <w:r>
        <w:br/>
      </w:r>
      <w:r>
        <w:rPr>
          <w:rStyle w:val="CommentTok"/>
        </w:rPr>
        <w:t>#&gt; 1   1         0.8744141     3.328600           45</w:t>
      </w:r>
      <w:r>
        <w:br/>
      </w:r>
      <w:r>
        <w:rPr>
          <w:rStyle w:val="CommentTok"/>
        </w:rPr>
        <w:t>#&gt; 2   2         0.9255766     3.543701           46</w:t>
      </w:r>
      <w:r>
        <w:br/>
      </w:r>
      <w:r>
        <w:rPr>
          <w:rStyle w:val="CommentTok"/>
        </w:rPr>
        <w:t>#&gt; 3   3         0.90337</w:t>
      </w:r>
      <w:r>
        <w:rPr>
          <w:rStyle w:val="CommentTok"/>
        </w:rPr>
        <w:t>90     3.683562           59</w:t>
      </w:r>
      <w:r>
        <w:br/>
      </w:r>
      <w:r>
        <w:rPr>
          <w:rStyle w:val="CommentTok"/>
        </w:rPr>
        <w:t>#&gt; 4   4         0.9050806     3.832208           69</w:t>
      </w:r>
      <w:r>
        <w:br/>
      </w:r>
      <w:r>
        <w:rPr>
          <w:rStyle w:val="CommentTok"/>
        </w:rPr>
        <w:t>#&gt; 5   5         0.9144473     3.079215           29</w:t>
      </w:r>
      <w:r>
        <w:br/>
      </w:r>
      <w:r>
        <w:rPr>
          <w:rStyle w:val="CommentTok"/>
        </w:rPr>
        <w:t>#&gt; 6   6         0.9121058     3.888015           71</w:t>
      </w:r>
    </w:p>
    <w:p w14:paraId="5BC30DD6" w14:textId="77777777" w:rsidR="003112D8" w:rsidRDefault="00230895">
      <w:pPr>
        <w:pStyle w:val="Heading3"/>
      </w:pPr>
      <w:bookmarkStart w:id="5" w:name="X3afed750e5480fbf24a52b4bce5b0ed20648c86"/>
      <w:r>
        <w:lastRenderedPageBreak/>
        <w:t>Probability density function of Entropy results</w:t>
      </w:r>
      <w:bookmarkEnd w:id="5"/>
    </w:p>
    <w:p w14:paraId="64F6A27B" w14:textId="77777777" w:rsidR="003112D8" w:rsidRDefault="00230895">
      <w:pPr>
        <w:pStyle w:val="FirstParagraph"/>
      </w:pPr>
      <w:r>
        <w:t>A pdf of the results</w:t>
      </w:r>
      <w:r>
        <w:t xml:space="preserve"> from </w:t>
      </w:r>
      <w:r>
        <w:rPr>
          <w:rStyle w:val="VerbatimChar"/>
        </w:rPr>
        <w:t>Entropy()</w:t>
      </w:r>
      <w:r>
        <w:t xml:space="preserve"> can be plotted with the </w:t>
      </w:r>
      <w:r>
        <w:rPr>
          <w:rStyle w:val="VerbatimChar"/>
        </w:rPr>
        <w:t>PlotPDF()</w:t>
      </w:r>
      <w:r>
        <w:t xml:space="preserve"> function when the </w:t>
      </w:r>
      <w:r>
        <w:rPr>
          <w:rStyle w:val="VerbatimChar"/>
        </w:rPr>
        <w:t>desc</w:t>
      </w:r>
      <w:r>
        <w:t xml:space="preserve"> parameter is set to “Entropy” (Figure V19).</w:t>
      </w:r>
    </w:p>
    <w:p w14:paraId="64C43D6C" w14:textId="77777777" w:rsidR="003112D8" w:rsidRDefault="00230895">
      <w:pPr>
        <w:pStyle w:val="SourceCode"/>
      </w:pPr>
      <w:r>
        <w:rPr>
          <w:rStyle w:val="CommentTok"/>
        </w:rPr>
        <w:t># Create a pdf plot of the entropy scores</w:t>
      </w:r>
      <w:r>
        <w:br/>
      </w:r>
      <w:r>
        <w:rPr>
          <w:rStyle w:val="NormalTok"/>
        </w:rPr>
        <w:t>pdf.ent &lt;-</w:t>
      </w:r>
      <w:r>
        <w:rPr>
          <w:rStyle w:val="StringTok"/>
        </w:rPr>
        <w:t xml:space="preserve"> </w:t>
      </w:r>
      <w:r>
        <w:rPr>
          <w:rStyle w:val="KeywordTok"/>
        </w:rPr>
        <w:t>PlotPDF</w:t>
      </w:r>
      <w:r>
        <w:rPr>
          <w:rStyle w:val="NormalTok"/>
        </w:rPr>
        <w:t>(Ent</w:t>
      </w:r>
      <w:r>
        <w:rPr>
          <w:rStyle w:val="OperatorTok"/>
        </w:rPr>
        <w:t>$</w:t>
      </w:r>
      <w:r>
        <w:rPr>
          <w:rStyle w:val="NormalTok"/>
        </w:rPr>
        <w:t xml:space="preserve">normalisedEntropy, </w:t>
      </w:r>
      <w:r>
        <w:rPr>
          <w:rStyle w:val="StringTok"/>
        </w:rPr>
        <w:t>"Entropy"</w:t>
      </w:r>
      <w:r>
        <w:rPr>
          <w:rStyle w:val="NormalTok"/>
        </w:rPr>
        <w:t>)</w:t>
      </w:r>
    </w:p>
    <w:p w14:paraId="577531EC" w14:textId="77777777" w:rsidR="003112D8" w:rsidRDefault="00230895">
      <w:pPr>
        <w:pStyle w:val="FirstParagraph"/>
      </w:pPr>
      <w:r>
        <w:rPr>
          <w:noProof/>
        </w:rPr>
        <w:drawing>
          <wp:inline distT="0" distB="0" distL="0" distR="0" wp14:anchorId="5D672216" wp14:editId="58939E1A">
            <wp:extent cx="5943600" cy="4245428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/Users/U1133331/AppData/Local/Temp/RtmpeAOdcd/preview-dd817b11481.dir/intraspecific_movements_files/figure-docx/ent%20pdf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914D5" w14:textId="77777777" w:rsidR="003112D8" w:rsidRDefault="00230895">
      <w:pPr>
        <w:pStyle w:val="BodyText"/>
      </w:pPr>
      <w:r>
        <w:rPr>
          <w:b/>
        </w:rPr>
        <w:t>Figure</w:t>
      </w:r>
      <w:r>
        <w:t xml:space="preserve"> </w:t>
      </w:r>
      <w:r>
        <w:rPr>
          <w:b/>
        </w:rPr>
        <w:t>V19</w:t>
      </w:r>
      <w:r>
        <w:t xml:space="preserve"> </w:t>
      </w:r>
      <w:r>
        <w:t xml:space="preserve">Probability density function (pdf) plot of normalised entropy scores for </w:t>
      </w:r>
      <w:r>
        <w:rPr>
          <w:rStyle w:val="VerbatimChar"/>
        </w:rPr>
        <w:t>tracks</w:t>
      </w:r>
      <w:r>
        <w:t xml:space="preserve"> dataset determined with </w:t>
      </w:r>
      <w:r>
        <w:rPr>
          <w:rStyle w:val="VerbatimChar"/>
        </w:rPr>
        <w:t>Entropy()</w:t>
      </w:r>
      <w:r>
        <w:t xml:space="preserve"> default parameters. Plot created using </w:t>
      </w:r>
      <w:r>
        <w:rPr>
          <w:rStyle w:val="VerbatimChar"/>
        </w:rPr>
        <w:t>PlotPDF()</w:t>
      </w:r>
      <w:r>
        <w:t xml:space="preserve"> with </w:t>
      </w:r>
      <w:r>
        <w:rPr>
          <w:rStyle w:val="VerbatimChar"/>
        </w:rPr>
        <w:t>desc=“Entropy”</w:t>
      </w:r>
      <w:r>
        <w:t>.</w:t>
      </w:r>
    </w:p>
    <w:p w14:paraId="65711102" w14:textId="77777777" w:rsidR="003112D8" w:rsidRDefault="00230895">
      <w:pPr>
        <w:pStyle w:val="BodyText"/>
      </w:pPr>
      <m:oMath>
        <m:r>
          <w:rPr>
            <w:rFonts w:ascii="Cambria Math" w:hAnsi="Cambria Math"/>
          </w:rPr>
          <m:t> </m:t>
        </m:r>
      </m:oMath>
      <w:r>
        <w:t xml:space="preserve"> </w:t>
      </w:r>
      <m:oMath>
        <m:r>
          <w:rPr>
            <w:rFonts w:ascii="Cambria Math" w:hAnsi="Cambria Math"/>
          </w:rPr>
          <m:t> </m:t>
        </m:r>
      </m:oMath>
    </w:p>
    <w:p w14:paraId="3DA66D91" w14:textId="078FAB16" w:rsidR="003112D8" w:rsidRDefault="00230895">
      <w:pPr>
        <w:pStyle w:val="BodyText"/>
      </w:pPr>
      <w:hyperlink r:id="rId20">
        <w:r>
          <w:rPr>
            <w:rStyle w:val="Hyperlink"/>
          </w:rPr>
          <w:t>Back to top</w:t>
        </w:r>
      </w:hyperlink>
    </w:p>
    <w:p w14:paraId="34C62679" w14:textId="77777777" w:rsidR="003112D8" w:rsidRDefault="00230895">
      <w:pPr>
        <w:pStyle w:val="Heading2"/>
      </w:pPr>
      <w:bookmarkStart w:id="6" w:name="track-predictability"/>
      <w:r>
        <w:t>Track pr</w:t>
      </w:r>
      <w:r>
        <w:t>edictability</w:t>
      </w:r>
      <w:bookmarkEnd w:id="6"/>
    </w:p>
    <w:p w14:paraId="30BEBEC8" w14:textId="77777777" w:rsidR="003112D8" w:rsidRDefault="00230895">
      <w:pPr>
        <w:pStyle w:val="FirstParagraph"/>
      </w:pPr>
      <w:r>
        <w:t xml:space="preserve">The </w:t>
      </w:r>
      <w:r>
        <w:rPr>
          <w:rStyle w:val="VerbatimChar"/>
        </w:rPr>
        <w:t>Predictability()</w:t>
      </w:r>
      <w:r>
        <w:t xml:space="preserve"> function calculates the limit of predictability for each track based on their individual entropy scores (Figure V20; Figure 1).</w:t>
      </w:r>
    </w:p>
    <w:p w14:paraId="20A9DBCB" w14:textId="77777777" w:rsidR="003112D8" w:rsidRDefault="00230895">
      <w:pPr>
        <w:pStyle w:val="BodyText"/>
      </w:pPr>
      <w:r>
        <w:rPr>
          <w:rStyle w:val="VerbatimChar"/>
        </w:rPr>
        <w:t>Predictability()</w:t>
      </w:r>
      <w:r>
        <w:t xml:space="preserve"> </w:t>
      </w:r>
      <w:r>
        <w:t xml:space="preserve">requires a data frame with telemetry data (as described above) and a data frame of results output from </w:t>
      </w:r>
      <w:r>
        <w:rPr>
          <w:rStyle w:val="VerbatimChar"/>
        </w:rPr>
        <w:t>Entropy()</w:t>
      </w:r>
      <w:r>
        <w:t>, and includes two optional parameters:</w:t>
      </w:r>
    </w:p>
    <w:p w14:paraId="2F61CC1F" w14:textId="77777777" w:rsidR="003112D8" w:rsidRDefault="00230895">
      <w:pPr>
        <w:pStyle w:val="Compact"/>
        <w:numPr>
          <w:ilvl w:val="0"/>
          <w:numId w:val="21"/>
        </w:numPr>
      </w:pPr>
      <w:r>
        <w:rPr>
          <w:rStyle w:val="VerbatimChar"/>
        </w:rPr>
        <w:lastRenderedPageBreak/>
        <w:t>startVal</w:t>
      </w:r>
      <w:r>
        <w:t>: the starting value used to find a root value for the limit of predictability equation (</w:t>
      </w:r>
      <w:r>
        <w:rPr>
          <w:rStyle w:val="VerbatimChar"/>
        </w:rPr>
        <w:t>startVa</w:t>
      </w:r>
      <w:r>
        <w:rPr>
          <w:rStyle w:val="VerbatimChar"/>
        </w:rPr>
        <w:t>l=0.99</w:t>
      </w:r>
      <w:r>
        <w:t>, by default), and</w:t>
      </w:r>
    </w:p>
    <w:p w14:paraId="55E07EC7" w14:textId="77777777" w:rsidR="003112D8" w:rsidRDefault="00230895">
      <w:pPr>
        <w:pStyle w:val="Compact"/>
        <w:numPr>
          <w:ilvl w:val="0"/>
          <w:numId w:val="21"/>
        </w:numPr>
      </w:pPr>
      <w:r>
        <w:rPr>
          <w:rStyle w:val="VerbatimChar"/>
        </w:rPr>
        <w:t>histPlot</w:t>
      </w:r>
      <w:r>
        <w:t>: output a histogram (</w:t>
      </w:r>
      <w:r>
        <w:rPr>
          <w:rStyle w:val="VerbatimChar"/>
        </w:rPr>
        <w:t>histPlot=TRUE</w:t>
      </w:r>
      <w:r>
        <w:t>, by default).</w:t>
      </w:r>
    </w:p>
    <w:p w14:paraId="206C7701" w14:textId="77777777" w:rsidR="003112D8" w:rsidRDefault="00230895">
      <w:pPr>
        <w:pStyle w:val="FirstParagraph"/>
      </w:pPr>
      <w:r>
        <w:rPr>
          <w:rStyle w:val="VerbatimChar"/>
        </w:rPr>
        <w:t>Predictability()</w:t>
      </w:r>
      <w:r>
        <w:t xml:space="preserve"> outputs a data frame of results with two columns, including: * </w:t>
      </w:r>
      <w:r>
        <w:rPr>
          <w:i/>
        </w:rPr>
        <w:t>ref</w:t>
      </w:r>
      <w:r>
        <w:t xml:space="preserve">: the reference id for each track, and * </w:t>
      </w:r>
      <w:r>
        <w:rPr>
          <w:i/>
        </w:rPr>
        <w:t>Predictability</w:t>
      </w:r>
      <w:r>
        <w:t>: the predictability scores for eac</w:t>
      </w:r>
      <w:r>
        <w:t>h track.</w:t>
      </w:r>
    </w:p>
    <w:p w14:paraId="7C1E2B9D" w14:textId="77777777" w:rsidR="003112D8" w:rsidRDefault="00230895">
      <w:pPr>
        <w:pStyle w:val="SourceCode"/>
      </w:pPr>
      <w:r>
        <w:rPr>
          <w:rStyle w:val="CommentTok"/>
        </w:rPr>
        <w:t># Track predictability using Predictability() default parameters and the output from Entropy()</w:t>
      </w:r>
      <w:r>
        <w:br/>
      </w:r>
      <w:r>
        <w:rPr>
          <w:rStyle w:val="NormalTok"/>
        </w:rPr>
        <w:t>Pred &lt;-</w:t>
      </w:r>
      <w:r>
        <w:rPr>
          <w:rStyle w:val="StringTok"/>
        </w:rPr>
        <w:t xml:space="preserve"> </w:t>
      </w:r>
      <w:r>
        <w:rPr>
          <w:rStyle w:val="KeywordTok"/>
        </w:rPr>
        <w:t>Predictability</w:t>
      </w:r>
      <w:r>
        <w:rPr>
          <w:rStyle w:val="NormalTok"/>
        </w:rPr>
        <w:t>(tracks, Ent)</w:t>
      </w:r>
    </w:p>
    <w:p w14:paraId="2C7C2677" w14:textId="77777777" w:rsidR="003112D8" w:rsidRDefault="00230895">
      <w:pPr>
        <w:pStyle w:val="FirstParagraph"/>
      </w:pPr>
      <w:r>
        <w:rPr>
          <w:noProof/>
        </w:rPr>
        <w:drawing>
          <wp:inline distT="0" distB="0" distL="0" distR="0" wp14:anchorId="32252BCE" wp14:editId="570E47F0">
            <wp:extent cx="5943600" cy="4245428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/Users/U1133331/AppData/Local/Temp/RtmpeAOdcd/preview-dd817b11481.dir/intraspecific_movements_files/figure-docx/predict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DC6398" w14:textId="77777777" w:rsidR="003112D8" w:rsidRDefault="00230895">
      <w:pPr>
        <w:pStyle w:val="BodyText"/>
      </w:pPr>
      <w:r>
        <w:rPr>
          <w:b/>
        </w:rPr>
        <w:t>Figure</w:t>
      </w:r>
      <w:r>
        <w:t xml:space="preserve"> </w:t>
      </w:r>
      <w:r>
        <w:rPr>
          <w:b/>
        </w:rPr>
        <w:t>V20</w:t>
      </w:r>
      <w:r>
        <w:t xml:space="preserve"> Histogram of predictability scores for </w:t>
      </w:r>
      <w:r>
        <w:rPr>
          <w:rStyle w:val="VerbatimChar"/>
        </w:rPr>
        <w:t>tracks</w:t>
      </w:r>
      <w:r>
        <w:t xml:space="preserve"> dataset determined using </w:t>
      </w:r>
      <w:r>
        <w:rPr>
          <w:rStyle w:val="VerbatimChar"/>
        </w:rPr>
        <w:t>Predictability()</w:t>
      </w:r>
      <w:r>
        <w:t xml:space="preserve"> default paramet</w:t>
      </w:r>
      <w:r>
        <w:t xml:space="preserve">ers and entropy scores from </w:t>
      </w:r>
      <w:r>
        <w:rPr>
          <w:rStyle w:val="VerbatimChar"/>
        </w:rPr>
        <w:t>Entropy()</w:t>
      </w:r>
      <w:r>
        <w:t>.</w:t>
      </w:r>
    </w:p>
    <w:p w14:paraId="6EE5992E" w14:textId="77777777" w:rsidR="003112D8" w:rsidRDefault="00230895">
      <w:pPr>
        <w:pStyle w:val="SourceCode"/>
      </w:pPr>
      <w:r>
        <w:rPr>
          <w:rStyle w:val="CommentTok"/>
        </w:rPr>
        <w:t># Preview the first 6 rows of the predictability results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>(Pred)</w:t>
      </w:r>
      <w:r>
        <w:br/>
      </w:r>
      <w:r>
        <w:rPr>
          <w:rStyle w:val="CommentTok"/>
        </w:rPr>
        <w:t>#&gt;   ref Predictability</w:t>
      </w:r>
      <w:r>
        <w:br/>
      </w:r>
      <w:r>
        <w:rPr>
          <w:rStyle w:val="CommentTok"/>
        </w:rPr>
        <w:t>#&gt; 1   1      0.2761026</w:t>
      </w:r>
      <w:r>
        <w:br/>
      </w:r>
      <w:r>
        <w:rPr>
          <w:rStyle w:val="CommentTok"/>
        </w:rPr>
        <w:t>#&gt; 2   2      0.2008385</w:t>
      </w:r>
      <w:r>
        <w:br/>
      </w:r>
      <w:r>
        <w:rPr>
          <w:rStyle w:val="CommentTok"/>
        </w:rPr>
        <w:t>#&gt; 3   3      0.2237396</w:t>
      </w:r>
      <w:r>
        <w:br/>
      </w:r>
      <w:r>
        <w:rPr>
          <w:rStyle w:val="CommentTok"/>
        </w:rPr>
        <w:t>#&gt; 4   4      0.2152093</w:t>
      </w:r>
      <w:r>
        <w:br/>
      </w:r>
      <w:r>
        <w:rPr>
          <w:rStyle w:val="CommentTok"/>
        </w:rPr>
        <w:t>#&gt; 5   5      0.2419867</w:t>
      </w:r>
      <w:r>
        <w:br/>
      </w:r>
      <w:r>
        <w:rPr>
          <w:rStyle w:val="CommentTok"/>
        </w:rPr>
        <w:t>#&gt; 6   6      0.2038908</w:t>
      </w:r>
    </w:p>
    <w:p w14:paraId="7932672E" w14:textId="77777777" w:rsidR="003112D8" w:rsidRDefault="00230895">
      <w:pPr>
        <w:pStyle w:val="Heading3"/>
      </w:pPr>
      <w:bookmarkStart w:id="7" w:name="Xf6465bfe0155a5dae58c3eb9cee19da7ab0eb3f"/>
      <w:r>
        <w:lastRenderedPageBreak/>
        <w:t>Probability density function of Entropy results</w:t>
      </w:r>
      <w:bookmarkEnd w:id="7"/>
    </w:p>
    <w:p w14:paraId="1DAD3817" w14:textId="77777777" w:rsidR="003112D8" w:rsidRDefault="00230895">
      <w:pPr>
        <w:pStyle w:val="FirstParagraph"/>
      </w:pPr>
      <w:r>
        <w:t xml:space="preserve">A pdf of the results from </w:t>
      </w:r>
      <w:r>
        <w:rPr>
          <w:rStyle w:val="VerbatimChar"/>
        </w:rPr>
        <w:t>Predictability()</w:t>
      </w:r>
      <w:r>
        <w:t xml:space="preserve"> can be plotted with the </w:t>
      </w:r>
      <w:r>
        <w:rPr>
          <w:rStyle w:val="VerbatimChar"/>
        </w:rPr>
        <w:t>PlotPDF()</w:t>
      </w:r>
      <w:r>
        <w:t xml:space="preserve"> function when the </w:t>
      </w:r>
      <w:r>
        <w:rPr>
          <w:rStyle w:val="VerbatimChar"/>
        </w:rPr>
        <w:t>desc</w:t>
      </w:r>
      <w:r>
        <w:t xml:space="preserve"> parameter is set to “Predictability” (Figure V21).</w:t>
      </w:r>
    </w:p>
    <w:p w14:paraId="194D7EE2" w14:textId="77777777" w:rsidR="003112D8" w:rsidRDefault="00230895">
      <w:pPr>
        <w:pStyle w:val="SourceCode"/>
      </w:pPr>
      <w:r>
        <w:rPr>
          <w:rStyle w:val="CommentTok"/>
        </w:rPr>
        <w:t xml:space="preserve"># Create </w:t>
      </w:r>
      <w:r>
        <w:rPr>
          <w:rStyle w:val="CommentTok"/>
        </w:rPr>
        <w:t>a pdf plot of the predictability scores</w:t>
      </w:r>
      <w:r>
        <w:br/>
      </w:r>
      <w:r>
        <w:rPr>
          <w:rStyle w:val="NormalTok"/>
        </w:rPr>
        <w:t>pdf.pred &lt;-</w:t>
      </w:r>
      <w:r>
        <w:rPr>
          <w:rStyle w:val="StringTok"/>
        </w:rPr>
        <w:t xml:space="preserve"> </w:t>
      </w:r>
      <w:r>
        <w:rPr>
          <w:rStyle w:val="KeywordTok"/>
        </w:rPr>
        <w:t>PlotPDF</w:t>
      </w:r>
      <w:r>
        <w:rPr>
          <w:rStyle w:val="NormalTok"/>
        </w:rPr>
        <w:t>(Pred</w:t>
      </w:r>
      <w:r>
        <w:rPr>
          <w:rStyle w:val="OperatorTok"/>
        </w:rPr>
        <w:t>$</w:t>
      </w:r>
      <w:r>
        <w:rPr>
          <w:rStyle w:val="NormalTok"/>
        </w:rPr>
        <w:t xml:space="preserve">Predictability, </w:t>
      </w:r>
      <w:r>
        <w:rPr>
          <w:rStyle w:val="DataTypeTok"/>
        </w:rPr>
        <w:t>desc=</w:t>
      </w:r>
      <w:r>
        <w:rPr>
          <w:rStyle w:val="StringTok"/>
        </w:rPr>
        <w:t>"Predictability"</w:t>
      </w:r>
      <w:r>
        <w:rPr>
          <w:rStyle w:val="NormalTok"/>
        </w:rPr>
        <w:t>)</w:t>
      </w:r>
    </w:p>
    <w:p w14:paraId="4D09643D" w14:textId="77777777" w:rsidR="003112D8" w:rsidRDefault="00230895">
      <w:pPr>
        <w:pStyle w:val="FirstParagraph"/>
      </w:pPr>
      <w:r>
        <w:rPr>
          <w:noProof/>
        </w:rPr>
        <w:drawing>
          <wp:inline distT="0" distB="0" distL="0" distR="0" wp14:anchorId="59EAB4AD" wp14:editId="1C223FAB">
            <wp:extent cx="5943600" cy="4245428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/Users/U1133331/AppData/Local/Temp/RtmpeAOdcd/preview-dd817b11481.dir/intraspecific_movements_files/figure-docx/predict%20pdf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76494" w14:textId="77777777" w:rsidR="003112D8" w:rsidRDefault="00230895">
      <w:pPr>
        <w:pStyle w:val="BodyText"/>
      </w:pPr>
      <w:r>
        <w:rPr>
          <w:b/>
        </w:rPr>
        <w:t>Figure</w:t>
      </w:r>
      <w:r>
        <w:t xml:space="preserve"> </w:t>
      </w:r>
      <w:r>
        <w:rPr>
          <w:b/>
        </w:rPr>
        <w:t>V21</w:t>
      </w:r>
      <w:r>
        <w:t xml:space="preserve"> Probability density function (pdf) plot of predictability scores for </w:t>
      </w:r>
      <w:r>
        <w:rPr>
          <w:rStyle w:val="VerbatimChar"/>
        </w:rPr>
        <w:t>tracks</w:t>
      </w:r>
      <w:r>
        <w:t xml:space="preserve"> dataset determined with </w:t>
      </w:r>
      <w:r>
        <w:rPr>
          <w:rStyle w:val="VerbatimChar"/>
        </w:rPr>
        <w:t>Predictability()</w:t>
      </w:r>
      <w:r>
        <w:t xml:space="preserve"> default parameters and</w:t>
      </w:r>
      <w:r>
        <w:t xml:space="preserve"> results from </w:t>
      </w:r>
      <w:r>
        <w:rPr>
          <w:rStyle w:val="VerbatimChar"/>
        </w:rPr>
        <w:t>Entropy()</w:t>
      </w:r>
      <w:r>
        <w:t xml:space="preserve">. Plot created using </w:t>
      </w:r>
      <w:r>
        <w:rPr>
          <w:rStyle w:val="VerbatimChar"/>
        </w:rPr>
        <w:t>PlotPDF()</w:t>
      </w:r>
      <w:r>
        <w:t xml:space="preserve"> with </w:t>
      </w:r>
      <w:r>
        <w:rPr>
          <w:rStyle w:val="VerbatimChar"/>
        </w:rPr>
        <w:t>desc=“Predictability”</w:t>
      </w:r>
      <w:r>
        <w:t>.</w:t>
      </w:r>
    </w:p>
    <w:p w14:paraId="3FBA7B99" w14:textId="77777777" w:rsidR="003112D8" w:rsidRDefault="00230895">
      <w:pPr>
        <w:pStyle w:val="BodyText"/>
      </w:pPr>
      <m:oMath>
        <m:r>
          <w:rPr>
            <w:rFonts w:ascii="Cambria Math" w:hAnsi="Cambria Math"/>
          </w:rPr>
          <m:t> </m:t>
        </m:r>
      </m:oMath>
      <w:r>
        <w:t xml:space="preserve"> </w:t>
      </w:r>
      <m:oMath>
        <m:r>
          <w:rPr>
            <w:rFonts w:ascii="Cambria Math" w:hAnsi="Cambria Math"/>
          </w:rPr>
          <m:t> </m:t>
        </m:r>
      </m:oMath>
    </w:p>
    <w:p w14:paraId="702483E8" w14:textId="7496F7DC" w:rsidR="003112D8" w:rsidRDefault="00230895">
      <w:pPr>
        <w:pStyle w:val="BodyText"/>
      </w:pPr>
      <w:hyperlink r:id="rId23">
        <w:r>
          <w:rPr>
            <w:rStyle w:val="Hyperlink"/>
          </w:rPr>
          <w:t>Back to top</w:t>
        </w:r>
      </w:hyperlink>
    </w:p>
    <w:p w14:paraId="43E547A1" w14:textId="77777777" w:rsidR="003112D8" w:rsidRDefault="00230895">
      <w:pPr>
        <w:pStyle w:val="Heading2"/>
      </w:pPr>
      <w:bookmarkStart w:id="8" w:name="references-recommended-resources"/>
      <w:r>
        <w:t>References &amp; Recommended resources</w:t>
      </w:r>
      <w:bookmarkEnd w:id="8"/>
    </w:p>
    <w:p w14:paraId="4DF9B824" w14:textId="77777777" w:rsidR="003112D8" w:rsidRDefault="00230895">
      <w:pPr>
        <w:pStyle w:val="FirstParagraph"/>
      </w:pPr>
      <w:r>
        <w:t>Burnham, K.P. &amp; Anderson, D.R. (2004) Multimodel Inference:Understanding AI</w:t>
      </w:r>
      <w:r>
        <w:t xml:space="preserve">C and BIC in Model Selection. </w:t>
      </w:r>
      <w:r>
        <w:rPr>
          <w:i/>
        </w:rPr>
        <w:t>Sociological Methods &amp; Research</w:t>
      </w:r>
      <w:r>
        <w:t>, 33, 261-304.</w:t>
      </w:r>
    </w:p>
    <w:p w14:paraId="001A0FF4" w14:textId="77777777" w:rsidR="003112D8" w:rsidRDefault="00230895">
      <w:pPr>
        <w:pStyle w:val="BodyText"/>
      </w:pPr>
      <w:r>
        <w:t xml:space="preserve">Calich, H.J. </w:t>
      </w:r>
      <w:r>
        <w:rPr>
          <w:i/>
        </w:rPr>
        <w:t>et al</w:t>
      </w:r>
      <w:r>
        <w:t xml:space="preserve">. (2021) Comprehensive analytical approaches reveal species-specific search strategies in sympatric apex predatory sharks. </w:t>
      </w:r>
      <w:r>
        <w:rPr>
          <w:i/>
        </w:rPr>
        <w:t>Ecography</w:t>
      </w:r>
      <w:r>
        <w:t>, 44, 1544-1556.</w:t>
      </w:r>
    </w:p>
    <w:p w14:paraId="02E2B313" w14:textId="77777777" w:rsidR="003112D8" w:rsidRDefault="00230895">
      <w:pPr>
        <w:pStyle w:val="BodyText"/>
      </w:pPr>
      <w:r>
        <w:lastRenderedPageBreak/>
        <w:t xml:space="preserve">Farage, C. </w:t>
      </w:r>
      <w:r>
        <w:rPr>
          <w:i/>
        </w:rPr>
        <w:t>et al</w:t>
      </w:r>
      <w:r>
        <w:t xml:space="preserve">. (2021) Identifying flow modules in ecological networks using Infomap. </w:t>
      </w:r>
      <w:r>
        <w:rPr>
          <w:i/>
        </w:rPr>
        <w:t>Methods in Ecology and Evolution</w:t>
      </w:r>
      <w:r>
        <w:t>, 12, 778–786.</w:t>
      </w:r>
    </w:p>
    <w:p w14:paraId="4DFC928E" w14:textId="77777777" w:rsidR="003112D8" w:rsidRDefault="00230895">
      <w:pPr>
        <w:pStyle w:val="BodyText"/>
      </w:pPr>
      <w:r>
        <w:t xml:space="preserve">Méndez, V., </w:t>
      </w:r>
      <w:r>
        <w:rPr>
          <w:i/>
        </w:rPr>
        <w:t>et al</w:t>
      </w:r>
      <w:r>
        <w:t>. (2013). Stochastic Foundations in Movement Ecology: Anomalous Diffusion, Front Propagation and Random Searches. B</w:t>
      </w:r>
      <w:r>
        <w:t>erlin, Heidelberg, Germanu, Springer Berlin / Heidelberg.</w:t>
      </w:r>
    </w:p>
    <w:p w14:paraId="6D8F31B4" w14:textId="77777777" w:rsidR="003112D8" w:rsidRDefault="00230895">
      <w:pPr>
        <w:pStyle w:val="BodyText"/>
      </w:pPr>
      <w:r>
        <w:t xml:space="preserve">Rodríguez, J.P. </w:t>
      </w:r>
      <w:r>
        <w:rPr>
          <w:i/>
        </w:rPr>
        <w:t>et al</w:t>
      </w:r>
      <w:r>
        <w:t xml:space="preserve">. (2017) Big data analyses reveal patterns and drivers of the movements of southern elephant seals. </w:t>
      </w:r>
      <w:r>
        <w:rPr>
          <w:i/>
        </w:rPr>
        <w:t>Scientific</w:t>
      </w:r>
      <w:r>
        <w:t xml:space="preserve"> </w:t>
      </w:r>
      <w:r>
        <w:rPr>
          <w:i/>
        </w:rPr>
        <w:t>Reports</w:t>
      </w:r>
      <w:r>
        <w:t>, 7, 1-10.</w:t>
      </w:r>
    </w:p>
    <w:p w14:paraId="2972C865" w14:textId="77777777" w:rsidR="003112D8" w:rsidRDefault="00230895">
      <w:pPr>
        <w:pStyle w:val="BodyText"/>
      </w:pPr>
      <w:r>
        <w:t xml:space="preserve">Viswanathan, G. M., </w:t>
      </w:r>
      <w:r>
        <w:rPr>
          <w:i/>
        </w:rPr>
        <w:t>et al</w:t>
      </w:r>
      <w:r>
        <w:t>. (2011). The Physics o</w:t>
      </w:r>
      <w:r>
        <w:t>f Foraging: An Introduction to Biological Encounters and Random Searches. Cambridge, Cambridge University Press.</w:t>
      </w:r>
    </w:p>
    <w:p w14:paraId="337E83DD" w14:textId="77777777" w:rsidR="003112D8" w:rsidRDefault="00230895">
      <w:pPr>
        <w:pStyle w:val="BodyText"/>
      </w:pPr>
      <w:r>
        <w:t>Wickham, H. (2016) ggplot2: Elegant Graphics for Data Analysis. Springer-Verlag, New York.</w:t>
      </w:r>
    </w:p>
    <w:sectPr w:rsidR="003112D8" w:rsidSect="00FF67A9"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4E8F0" w14:textId="77777777" w:rsidR="00230895" w:rsidRDefault="00230895">
      <w:pPr>
        <w:spacing w:after="0"/>
      </w:pPr>
      <w:r>
        <w:separator/>
      </w:r>
    </w:p>
  </w:endnote>
  <w:endnote w:type="continuationSeparator" w:id="0">
    <w:p w14:paraId="3C7576B9" w14:textId="77777777" w:rsidR="00230895" w:rsidRDefault="002308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2C035" w14:textId="77777777" w:rsidR="00230895" w:rsidRDefault="00230895">
      <w:r>
        <w:separator/>
      </w:r>
    </w:p>
  </w:footnote>
  <w:footnote w:type="continuationSeparator" w:id="0">
    <w:p w14:paraId="3E9EE999" w14:textId="77777777" w:rsidR="00230895" w:rsidRDefault="00230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48AB3C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12AC9E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DE06D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D6C041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69005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BFDAA1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FB67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E2429EE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706B7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06E0A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70E9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2FB454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71315DCA"/>
    <w:multiLevelType w:val="multilevel"/>
    <w:tmpl w:val="42AAC8E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2"/>
  </w:num>
  <w:num w:numId="5">
    <w:abstractNumId w:val="1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11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30895"/>
    <w:rsid w:val="003112D8"/>
    <w:rsid w:val="004E29B3"/>
    <w:rsid w:val="00590D07"/>
    <w:rsid w:val="006C52A9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FFB2"/>
  <w15:docId w15:val="{3374EC54-D35F-424F-BE18-30A52E7B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0500E6"/>
    <w:pPr>
      <w:keepNext/>
      <w:keepLines/>
      <w:pBdr>
        <w:bottom w:val="single" w:sz="12" w:space="1" w:color="auto"/>
      </w:pBdr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345A8A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2761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527610"/>
  </w:style>
  <w:style w:type="paragraph" w:customStyle="1" w:styleId="Compact">
    <w:name w:val="Compact"/>
    <w:basedOn w:val="BodyText"/>
    <w:qFormat/>
    <w:rsid w:val="006653CE"/>
    <w:pPr>
      <w:spacing w:before="36" w:after="36"/>
    </w:pPr>
  </w:style>
  <w:style w:type="paragraph" w:styleId="Title">
    <w:name w:val="Title"/>
    <w:basedOn w:val="Normal"/>
    <w:next w:val="BodyText"/>
    <w:qFormat/>
    <w:rsid w:val="00C57E44"/>
    <w:pPr>
      <w:keepNext/>
      <w:keepLines/>
      <w:pBdr>
        <w:bottom w:val="doub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6"/>
      <w:szCs w:val="36"/>
    </w:rPr>
  </w:style>
  <w:style w:type="paragraph" w:styleId="Subtitle">
    <w:name w:val="Subtitle"/>
    <w:basedOn w:val="Title"/>
    <w:next w:val="BodyText"/>
    <w:qFormat/>
    <w:rsid w:val="008F483A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527610"/>
    <w:pPr>
      <w:keepNext/>
      <w:keepLines/>
      <w:jc w:val="center"/>
    </w:pPr>
  </w:style>
  <w:style w:type="paragraph" w:styleId="Date">
    <w:name w:val="Date"/>
    <w:next w:val="BodyText"/>
    <w:qFormat/>
    <w:rsid w:val="00E857C9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ED5205"/>
    <w:rPr>
      <w:rFonts w:asciiTheme="minorHAnsi" w:hAnsiTheme="minorHAnsi"/>
      <w:color w:val="345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sid w:val="000500E6"/>
    <w:rPr>
      <w:rFonts w:ascii="Consolas" w:hAnsi="Consolas"/>
      <w:color w:val="006C31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860EC6"/>
    <w:rPr>
      <w:rFonts w:ascii="Consolas" w:hAnsi="Consolas"/>
      <w:i w:val="0"/>
      <w:color w:val="auto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BC2B9B"/>
    <w:rPr>
      <w:rFonts w:ascii="Consolas" w:hAnsi="Consolas"/>
      <w:color w:val="984806" w:themeColor="accent6" w:themeShade="80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527610"/>
  </w:style>
  <w:style w:type="paragraph" w:styleId="Header">
    <w:name w:val="header"/>
    <w:basedOn w:val="Normal"/>
    <w:link w:val="HeaderChar"/>
    <w:unhideWhenUsed/>
    <w:rsid w:val="00FF67A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F67A9"/>
  </w:style>
  <w:style w:type="paragraph" w:styleId="Footer">
    <w:name w:val="footer"/>
    <w:basedOn w:val="Normal"/>
    <w:link w:val="FooterChar"/>
    <w:unhideWhenUsed/>
    <w:rsid w:val="00FF67A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F6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1133331\AppData\Local\Temp\RtmpeAOdcd\preview-dd817b11481.dir\introduction.html" TargetMode="External"/><Relationship Id="rId13" Type="http://schemas.openxmlformats.org/officeDocument/2006/relationships/hyperlink" Target="file:///C:\Users\U1133331\AppData\Local\Temp\RtmpeAOdcd\preview-dd817b11481.dir\intraspecific_movements.html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openxmlformats.org/officeDocument/2006/relationships/hyperlink" Target="file:///C:\Users\U1133331\AppData\Local\Temp\RtmpeAOdcd\preview-dd817b11481.dir\intraspecific_movements.html" TargetMode="External"/><Relationship Id="rId17" Type="http://schemas.openxmlformats.org/officeDocument/2006/relationships/hyperlink" Target="file:///C:\Users\U1133331\AppData\Local\Temp\RtmpeAOdcd\preview-dd817b11481.dir\intraspecific_movements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file:///C:\Users\U1133331\AppData\Local\Temp\RtmpeAOdcd\preview-dd817b11481.dir\intraspecific_movement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1133331\AppData\Local\Temp\RtmpeAOdcd\preview-dd817b11481.dir\intraspecific_movements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file:///C:\Users\U1133331\AppData\Local\Temp\RtmpeAOdcd\preview-dd817b11481.dir\intraspecific_movements.html" TargetMode="External"/><Relationship Id="rId10" Type="http://schemas.openxmlformats.org/officeDocument/2006/relationships/hyperlink" Target="file:///C:\Users\U1133331\AppData\Local\Temp\RtmpeAOdcd\preview-dd817b11481.dir\space_use_patterns.html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file:///C:\Users\U1133331\AppData\Local\Temp\RtmpeAOdcd\preview-dd817b11481.dir\movement_patterns.html" TargetMode="External"/><Relationship Id="rId14" Type="http://schemas.openxmlformats.org/officeDocument/2006/relationships/hyperlink" Target="file:///C:\Users\U1133331\AppData\Local\Temp\RtmpeAOdcd\preview-dd817b11481.dir\intraspecific_movements.html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PhysMove: Introduction</vt:lpstr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PhysMove: Intraspecific Movements</dc:title>
  <dc:creator>Hannah Calich, Jorge Rodríguez, Víctor Eguíluz &amp; Ana Sequeira</dc:creator>
  <cp:keywords/>
  <cp:lastModifiedBy>Hannah Calich</cp:lastModifiedBy>
  <cp:revision>2</cp:revision>
  <dcterms:created xsi:type="dcterms:W3CDTF">2023-06-14T04:28:00Z</dcterms:created>
  <dcterms:modified xsi:type="dcterms:W3CDTF">2023-06-14T04:28:00Z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2023-06-14</vt:lpwstr>
  </property>
  <property fmtid="{D5CDD505-2E9C-101B-9397-08002B2CF9AE}" pid="3" name="output">
    <vt:lpwstr/>
  </property>
  <property fmtid="{D5CDD505-2E9C-101B-9397-08002B2CF9AE}" pid="4" name="vignette">
    <vt:lpwstr>% % %</vt:lpwstr>
  </property>
</Properties>
</file>