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C644" w14:textId="0FC6FBEB" w:rsidR="00EB7AFC" w:rsidRDefault="00EB7AFC" w:rsidP="00EB7AFC"/>
    <w:p w14:paraId="253486B9" w14:textId="77777777" w:rsidR="00254257" w:rsidRPr="00254257" w:rsidRDefault="003A4D55" w:rsidP="00254257">
      <w:pPr>
        <w:spacing w:before="0" w:after="0"/>
        <w:jc w:val="center"/>
        <w:rPr>
          <w:rFonts w:ascii="Calibri Light" w:hAnsi="Calibri Light" w:cs="Calibri Light"/>
          <w:b/>
          <w:bCs/>
          <w:color w:val="0070C0"/>
          <w:sz w:val="60"/>
          <w:szCs w:val="60"/>
        </w:rPr>
      </w:pPr>
      <w:r w:rsidRPr="00254257">
        <w:rPr>
          <w:rFonts w:ascii="Calibri Light" w:hAnsi="Calibri Light" w:cs="Calibri Light"/>
          <w:b/>
          <w:bCs/>
          <w:color w:val="0070C0"/>
          <w:sz w:val="60"/>
          <w:szCs w:val="60"/>
        </w:rPr>
        <w:t>Video Game Sales Analysis</w:t>
      </w:r>
    </w:p>
    <w:p w14:paraId="386B57C8" w14:textId="09137358" w:rsidR="00254257" w:rsidRPr="00254257" w:rsidRDefault="00254257" w:rsidP="00254257">
      <w:pPr>
        <w:spacing w:before="0"/>
        <w:jc w:val="center"/>
        <w:rPr>
          <w:rFonts w:ascii="Calibri Light" w:hAnsi="Calibri Light" w:cs="Calibri Light"/>
          <w:b/>
          <w:bCs/>
          <w:color w:val="0070C0"/>
          <w:sz w:val="44"/>
          <w:szCs w:val="44"/>
        </w:rPr>
      </w:pPr>
      <w:r w:rsidRPr="00254257">
        <w:rPr>
          <w:rFonts w:ascii="Calibri Light" w:hAnsi="Calibri Light" w:cs="Calibri Light"/>
          <w:b/>
          <w:bCs/>
          <w:color w:val="0070C0"/>
          <w:sz w:val="44"/>
          <w:szCs w:val="44"/>
        </w:rPr>
        <w:t xml:space="preserve">GameCo </w:t>
      </w:r>
      <w:r w:rsidR="003A4D55" w:rsidRPr="00254257">
        <w:rPr>
          <w:rFonts w:ascii="Calibri Light" w:hAnsi="Calibri Light" w:cs="Calibri Light"/>
          <w:b/>
          <w:bCs/>
          <w:color w:val="0070C0"/>
          <w:sz w:val="44"/>
          <w:szCs w:val="44"/>
        </w:rPr>
        <w:t>Regional Budget Allocation</w:t>
      </w:r>
      <w:r w:rsidRPr="00254257">
        <w:rPr>
          <w:rFonts w:ascii="Calibri Light" w:hAnsi="Calibri Light" w:cs="Calibri Light"/>
          <w:b/>
          <w:bCs/>
          <w:color w:val="0070C0"/>
          <w:sz w:val="44"/>
          <w:szCs w:val="44"/>
        </w:rPr>
        <w:t xml:space="preserve"> 2017</w:t>
      </w:r>
    </w:p>
    <w:tbl>
      <w:tblPr>
        <w:tblStyle w:val="TableGrid"/>
        <w:tblW w:w="0" w:type="auto"/>
        <w:jc w:val="center"/>
        <w:tblBorders>
          <w:top w:val="wave" w:sz="12" w:space="0" w:color="0070C0"/>
          <w:left w:val="wave" w:sz="12" w:space="0" w:color="0070C0"/>
          <w:bottom w:val="wave" w:sz="12" w:space="0" w:color="0070C0"/>
          <w:right w:val="wave" w:sz="12" w:space="0" w:color="0070C0"/>
          <w:insideH w:val="wave" w:sz="12" w:space="0" w:color="0070C0"/>
          <w:insideV w:val="wave" w:sz="12" w:space="0" w:color="0070C0"/>
        </w:tblBorders>
        <w:tblLook w:val="04A0" w:firstRow="1" w:lastRow="0" w:firstColumn="1" w:lastColumn="0" w:noHBand="0" w:noVBand="1"/>
      </w:tblPr>
      <w:tblGrid>
        <w:gridCol w:w="6330"/>
      </w:tblGrid>
      <w:tr w:rsidR="003A4D55" w14:paraId="6BE576BD" w14:textId="77777777" w:rsidTr="00EF36AF">
        <w:trPr>
          <w:trHeight w:val="2217"/>
          <w:jc w:val="center"/>
        </w:trPr>
        <w:tc>
          <w:tcPr>
            <w:tcW w:w="6330" w:type="dxa"/>
            <w:vAlign w:val="center"/>
          </w:tcPr>
          <w:p w14:paraId="78569CA9" w14:textId="77777777" w:rsidR="008E5054" w:rsidRPr="003A4D55" w:rsidRDefault="008E5054" w:rsidP="008E5054">
            <w:pPr>
              <w:pStyle w:val="Heading2"/>
              <w:outlineLvl w:val="1"/>
              <w:rPr>
                <w:rFonts w:cstheme="minorHAnsi"/>
                <w:color w:val="000000" w:themeColor="text1"/>
              </w:rPr>
            </w:pPr>
            <w:r w:rsidRPr="003A4D55">
              <w:rPr>
                <w:rFonts w:cstheme="minorHAnsi"/>
                <w:color w:val="000000" w:themeColor="text1"/>
              </w:rPr>
              <w:t>Requirements and Current Understanding</w:t>
            </w:r>
          </w:p>
          <w:p w14:paraId="3928C39F" w14:textId="6D0B4490" w:rsidR="003A4D55" w:rsidRPr="003A4D55" w:rsidRDefault="003A4D55" w:rsidP="003A4D55">
            <w:pPr>
              <w:spacing w:before="0" w:after="0" w:line="276" w:lineRule="auto"/>
              <w:jc w:val="both"/>
              <w:rPr>
                <w:rFonts w:asciiTheme="minorHAnsi" w:hAnsiTheme="minorHAnsi" w:cstheme="minorHAnsi"/>
                <w:color w:val="000000" w:themeColor="text1"/>
                <w:sz w:val="24"/>
                <w:szCs w:val="24"/>
              </w:rPr>
            </w:pPr>
            <w:r w:rsidRPr="003A4D55">
              <w:rPr>
                <w:rFonts w:asciiTheme="minorHAnsi" w:hAnsiTheme="minorHAnsi" w:cstheme="minorHAnsi"/>
                <w:color w:val="000000" w:themeColor="text1"/>
                <w:sz w:val="24"/>
                <w:szCs w:val="24"/>
              </w:rPr>
              <w:t xml:space="preserve">GameCo are making plans for the 2017 regional budget allocation and would like recommendations on how best to allocate resources.  It is </w:t>
            </w:r>
            <w:r w:rsidR="00EF36AF">
              <w:rPr>
                <w:rFonts w:asciiTheme="minorHAnsi" w:hAnsiTheme="minorHAnsi" w:cstheme="minorHAnsi"/>
                <w:color w:val="000000" w:themeColor="text1"/>
                <w:sz w:val="24"/>
                <w:szCs w:val="24"/>
              </w:rPr>
              <w:t>GameCo’s</w:t>
            </w:r>
            <w:r w:rsidRPr="003A4D55">
              <w:rPr>
                <w:rFonts w:asciiTheme="minorHAnsi" w:hAnsiTheme="minorHAnsi" w:cstheme="minorHAnsi"/>
                <w:color w:val="000000" w:themeColor="text1"/>
                <w:sz w:val="24"/>
                <w:szCs w:val="24"/>
              </w:rPr>
              <w:t xml:space="preserve"> current understanding that sales in the various regions have remained the same over time.</w:t>
            </w:r>
          </w:p>
        </w:tc>
      </w:tr>
    </w:tbl>
    <w:p w14:paraId="530479FF" w14:textId="642B67C3" w:rsidR="003A4D55" w:rsidRDefault="003A4D55" w:rsidP="003A4D55"/>
    <w:p w14:paraId="62E8B537" w14:textId="147CE170" w:rsidR="009F3553" w:rsidRDefault="009F3553" w:rsidP="003A4D55"/>
    <w:p w14:paraId="3212EDB6" w14:textId="0A6288DC" w:rsidR="004946D7" w:rsidRDefault="00906FDE" w:rsidP="007A58E3">
      <w:pPr>
        <w:jc w:val="center"/>
      </w:pPr>
      <w:r w:rsidRPr="00906FDE">
        <w:rPr>
          <w:noProof/>
        </w:rPr>
        <w:drawing>
          <wp:inline distT="0" distB="0" distL="0" distR="0" wp14:anchorId="01292071" wp14:editId="2AF04635">
            <wp:extent cx="4432057" cy="2062263"/>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9535" cy="2070396"/>
                    </a:xfrm>
                    <a:prstGeom prst="rect">
                      <a:avLst/>
                    </a:prstGeom>
                  </pic:spPr>
                </pic:pic>
              </a:graphicData>
            </a:graphic>
          </wp:inline>
        </w:drawing>
      </w:r>
    </w:p>
    <w:p w14:paraId="4E5F8F05" w14:textId="77777777" w:rsidR="009F3553" w:rsidRDefault="009F3553" w:rsidP="003A4D55"/>
    <w:p w14:paraId="0274C503" w14:textId="0785FB1A" w:rsidR="00DF409A" w:rsidRPr="003A4D55" w:rsidRDefault="00DF409A" w:rsidP="00F6708F">
      <w:pPr>
        <w:pStyle w:val="Heading2"/>
        <w:ind w:left="567"/>
        <w:rPr>
          <w:rFonts w:cstheme="minorHAnsi"/>
          <w:color w:val="000000" w:themeColor="text1"/>
        </w:rPr>
      </w:pPr>
      <w:r>
        <w:rPr>
          <w:rFonts w:cstheme="minorHAnsi"/>
          <w:color w:val="000000" w:themeColor="text1"/>
        </w:rPr>
        <w:t>What this Report Covers</w:t>
      </w:r>
      <w:r w:rsidR="00F123D4">
        <w:rPr>
          <w:rFonts w:cstheme="minorHAnsi"/>
          <w:color w:val="000000" w:themeColor="text1"/>
        </w:rPr>
        <w:t>:</w:t>
      </w:r>
    </w:p>
    <w:p w14:paraId="2C5FD416" w14:textId="4AA50639" w:rsidR="008E5054" w:rsidRPr="003A4D55" w:rsidRDefault="008E5054" w:rsidP="00F6708F">
      <w:pPr>
        <w:ind w:left="567"/>
        <w:rPr>
          <w:rFonts w:asciiTheme="minorHAnsi" w:hAnsiTheme="minorHAnsi" w:cstheme="minorHAnsi"/>
          <w:color w:val="000000" w:themeColor="text1"/>
        </w:rPr>
      </w:pPr>
      <w:r w:rsidRPr="003A4D55">
        <w:rPr>
          <w:rFonts w:asciiTheme="minorHAnsi" w:hAnsiTheme="minorHAnsi" w:cstheme="minorHAnsi"/>
          <w:color w:val="000000" w:themeColor="text1"/>
        </w:rPr>
        <w:t xml:space="preserve">As part of this analysis the following areas will be </w:t>
      </w:r>
      <w:r w:rsidR="003A5C36">
        <w:rPr>
          <w:rFonts w:asciiTheme="minorHAnsi" w:hAnsiTheme="minorHAnsi" w:cstheme="minorHAnsi"/>
          <w:color w:val="000000" w:themeColor="text1"/>
        </w:rPr>
        <w:t>covered</w:t>
      </w:r>
      <w:r w:rsidRPr="003A4D55">
        <w:rPr>
          <w:rFonts w:asciiTheme="minorHAnsi" w:hAnsiTheme="minorHAnsi" w:cstheme="minorHAnsi"/>
          <w:color w:val="000000" w:themeColor="text1"/>
        </w:rPr>
        <w:t>:</w:t>
      </w:r>
    </w:p>
    <w:p w14:paraId="73580B8F" w14:textId="18B0797D" w:rsidR="008E5054" w:rsidRPr="003A4D55" w:rsidRDefault="008E5054" w:rsidP="00F6708F">
      <w:pPr>
        <w:pStyle w:val="ListParagraph"/>
        <w:numPr>
          <w:ilvl w:val="0"/>
          <w:numId w:val="24"/>
        </w:numPr>
        <w:rPr>
          <w:rFonts w:asciiTheme="minorHAnsi" w:hAnsiTheme="minorHAnsi" w:cstheme="minorHAnsi"/>
          <w:color w:val="000000" w:themeColor="text1"/>
        </w:rPr>
      </w:pPr>
      <w:r w:rsidRPr="003A4D55">
        <w:rPr>
          <w:rFonts w:asciiTheme="minorHAnsi" w:hAnsiTheme="minorHAnsi" w:cstheme="minorHAnsi"/>
          <w:color w:val="000000" w:themeColor="text1"/>
        </w:rPr>
        <w:t>The data set</w:t>
      </w:r>
      <w:r w:rsidR="00EF36AF">
        <w:rPr>
          <w:rFonts w:asciiTheme="minorHAnsi" w:hAnsiTheme="minorHAnsi" w:cstheme="minorHAnsi"/>
          <w:color w:val="000000" w:themeColor="text1"/>
        </w:rPr>
        <w:t xml:space="preserve"> use</w:t>
      </w:r>
      <w:r w:rsidR="005C44EE">
        <w:rPr>
          <w:rFonts w:asciiTheme="minorHAnsi" w:hAnsiTheme="minorHAnsi" w:cstheme="minorHAnsi"/>
          <w:color w:val="000000" w:themeColor="text1"/>
        </w:rPr>
        <w:t>d</w:t>
      </w:r>
      <w:r w:rsidR="00EF36AF">
        <w:rPr>
          <w:rFonts w:asciiTheme="minorHAnsi" w:hAnsiTheme="minorHAnsi" w:cstheme="minorHAnsi"/>
          <w:color w:val="000000" w:themeColor="text1"/>
        </w:rPr>
        <w:t xml:space="preserve"> for the analysis.</w:t>
      </w:r>
    </w:p>
    <w:p w14:paraId="13C0564D" w14:textId="2E57D132" w:rsidR="008E5054" w:rsidRPr="003A4D55" w:rsidRDefault="008E5054" w:rsidP="00F6708F">
      <w:pPr>
        <w:pStyle w:val="ListParagraph"/>
        <w:numPr>
          <w:ilvl w:val="0"/>
          <w:numId w:val="24"/>
        </w:numPr>
        <w:rPr>
          <w:rFonts w:asciiTheme="minorHAnsi" w:hAnsiTheme="minorHAnsi" w:cstheme="minorHAnsi"/>
          <w:color w:val="000000" w:themeColor="text1"/>
        </w:rPr>
      </w:pPr>
      <w:r w:rsidRPr="003A4D55">
        <w:rPr>
          <w:rFonts w:asciiTheme="minorHAnsi" w:hAnsiTheme="minorHAnsi" w:cstheme="minorHAnsi"/>
          <w:color w:val="000000" w:themeColor="text1"/>
        </w:rPr>
        <w:t xml:space="preserve">A summary of </w:t>
      </w:r>
      <w:r w:rsidR="00952632">
        <w:rPr>
          <w:rFonts w:asciiTheme="minorHAnsi" w:hAnsiTheme="minorHAnsi" w:cstheme="minorHAnsi"/>
          <w:color w:val="000000" w:themeColor="text1"/>
        </w:rPr>
        <w:t>video game</w:t>
      </w:r>
      <w:r w:rsidRPr="003A4D55">
        <w:rPr>
          <w:rFonts w:asciiTheme="minorHAnsi" w:hAnsiTheme="minorHAnsi" w:cstheme="minorHAnsi"/>
          <w:color w:val="000000" w:themeColor="text1"/>
        </w:rPr>
        <w:t xml:space="preserve"> sales performance from 1994 to 2016 by region.</w:t>
      </w:r>
    </w:p>
    <w:p w14:paraId="54BB8A6F" w14:textId="07DAC79B" w:rsidR="008E5054" w:rsidRPr="003A4D55" w:rsidRDefault="008E5054" w:rsidP="00F6708F">
      <w:pPr>
        <w:pStyle w:val="ListParagraph"/>
        <w:numPr>
          <w:ilvl w:val="0"/>
          <w:numId w:val="24"/>
        </w:numPr>
        <w:rPr>
          <w:rFonts w:asciiTheme="minorHAnsi" w:hAnsiTheme="minorHAnsi" w:cstheme="minorHAnsi"/>
          <w:color w:val="000000" w:themeColor="text1"/>
        </w:rPr>
      </w:pPr>
      <w:r w:rsidRPr="003A4D55">
        <w:rPr>
          <w:rFonts w:asciiTheme="minorHAnsi" w:hAnsiTheme="minorHAnsi" w:cstheme="minorHAnsi"/>
          <w:color w:val="000000" w:themeColor="text1"/>
        </w:rPr>
        <w:t xml:space="preserve">A discussion into how the </w:t>
      </w:r>
      <w:r w:rsidR="00952632">
        <w:rPr>
          <w:rFonts w:asciiTheme="minorHAnsi" w:hAnsiTheme="minorHAnsi" w:cstheme="minorHAnsi"/>
          <w:color w:val="000000" w:themeColor="text1"/>
        </w:rPr>
        <w:t>industry</w:t>
      </w:r>
      <w:r w:rsidRPr="003A4D55">
        <w:rPr>
          <w:rFonts w:asciiTheme="minorHAnsi" w:hAnsiTheme="minorHAnsi" w:cstheme="minorHAnsi"/>
          <w:color w:val="000000" w:themeColor="text1"/>
        </w:rPr>
        <w:t xml:space="preserve"> has performed, and possible reasons for any changes.</w:t>
      </w:r>
    </w:p>
    <w:p w14:paraId="39BAA296" w14:textId="1280837C" w:rsidR="008E5054" w:rsidRPr="003A4D55" w:rsidRDefault="008E5054" w:rsidP="00F6708F">
      <w:pPr>
        <w:pStyle w:val="ListParagraph"/>
        <w:numPr>
          <w:ilvl w:val="0"/>
          <w:numId w:val="24"/>
        </w:numPr>
        <w:rPr>
          <w:rFonts w:asciiTheme="minorHAnsi" w:hAnsiTheme="minorHAnsi" w:cstheme="minorHAnsi"/>
          <w:color w:val="000000" w:themeColor="text1"/>
        </w:rPr>
      </w:pPr>
      <w:r w:rsidRPr="003A4D55">
        <w:rPr>
          <w:rFonts w:asciiTheme="minorHAnsi" w:hAnsiTheme="minorHAnsi" w:cstheme="minorHAnsi"/>
          <w:color w:val="000000" w:themeColor="text1"/>
        </w:rPr>
        <w:t xml:space="preserve">A look at what </w:t>
      </w:r>
      <w:r w:rsidR="00952632">
        <w:rPr>
          <w:rFonts w:asciiTheme="minorHAnsi" w:hAnsiTheme="minorHAnsi" w:cstheme="minorHAnsi"/>
          <w:color w:val="000000" w:themeColor="text1"/>
        </w:rPr>
        <w:t>each</w:t>
      </w:r>
      <w:r w:rsidRPr="003A4D55">
        <w:rPr>
          <w:rFonts w:asciiTheme="minorHAnsi" w:hAnsiTheme="minorHAnsi" w:cstheme="minorHAnsi"/>
          <w:color w:val="000000" w:themeColor="text1"/>
        </w:rPr>
        <w:t xml:space="preserve"> market is expected to do next by region.</w:t>
      </w:r>
    </w:p>
    <w:p w14:paraId="47FC1B4D" w14:textId="0D7A4E24" w:rsidR="008E5054" w:rsidRPr="003A4D55" w:rsidRDefault="008E5054" w:rsidP="00F6708F">
      <w:pPr>
        <w:pStyle w:val="ListParagraph"/>
        <w:numPr>
          <w:ilvl w:val="0"/>
          <w:numId w:val="24"/>
        </w:numPr>
        <w:rPr>
          <w:rFonts w:asciiTheme="minorHAnsi" w:hAnsiTheme="minorHAnsi" w:cstheme="minorHAnsi"/>
          <w:color w:val="000000" w:themeColor="text1"/>
        </w:rPr>
      </w:pPr>
      <w:r w:rsidRPr="003A4D55">
        <w:rPr>
          <w:rFonts w:asciiTheme="minorHAnsi" w:hAnsiTheme="minorHAnsi" w:cstheme="minorHAnsi"/>
          <w:color w:val="000000" w:themeColor="text1"/>
        </w:rPr>
        <w:t xml:space="preserve">A plan for allocating </w:t>
      </w:r>
      <w:r w:rsidR="00952632">
        <w:rPr>
          <w:rFonts w:asciiTheme="minorHAnsi" w:hAnsiTheme="minorHAnsi" w:cstheme="minorHAnsi"/>
          <w:color w:val="000000" w:themeColor="text1"/>
        </w:rPr>
        <w:t>GameCo’s</w:t>
      </w:r>
      <w:r w:rsidRPr="003A4D55">
        <w:rPr>
          <w:rFonts w:asciiTheme="minorHAnsi" w:hAnsiTheme="minorHAnsi" w:cstheme="minorHAnsi"/>
          <w:color w:val="000000" w:themeColor="text1"/>
        </w:rPr>
        <w:t xml:space="preserve"> marketing budget for 2017 by region.</w:t>
      </w:r>
    </w:p>
    <w:p w14:paraId="2DB02567" w14:textId="307425DF" w:rsidR="008E5054" w:rsidRPr="003A4D55" w:rsidRDefault="00DF409A" w:rsidP="00F6708F">
      <w:pPr>
        <w:ind w:left="567"/>
        <w:rPr>
          <w:rFonts w:asciiTheme="minorHAnsi" w:hAnsiTheme="minorHAnsi" w:cstheme="minorHAnsi"/>
          <w:color w:val="000000" w:themeColor="text1"/>
        </w:rPr>
      </w:pPr>
      <w:r>
        <w:rPr>
          <w:rFonts w:asciiTheme="minorHAnsi" w:hAnsiTheme="minorHAnsi" w:cstheme="minorHAnsi"/>
          <w:color w:val="000000" w:themeColor="text1"/>
        </w:rPr>
        <w:t>Also</w:t>
      </w:r>
      <w:r w:rsidR="008E5054" w:rsidRPr="003A4D55">
        <w:rPr>
          <w:rFonts w:asciiTheme="minorHAnsi" w:hAnsiTheme="minorHAnsi" w:cstheme="minorHAnsi"/>
          <w:color w:val="000000" w:themeColor="text1"/>
        </w:rPr>
        <w:t xml:space="preserve"> discuss</w:t>
      </w:r>
      <w:r>
        <w:rPr>
          <w:rFonts w:asciiTheme="minorHAnsi" w:hAnsiTheme="minorHAnsi" w:cstheme="minorHAnsi"/>
          <w:color w:val="000000" w:themeColor="text1"/>
        </w:rPr>
        <w:t>ed</w:t>
      </w:r>
      <w:r w:rsidR="008E5054" w:rsidRPr="003A4D55">
        <w:rPr>
          <w:rFonts w:asciiTheme="minorHAnsi" w:hAnsiTheme="minorHAnsi" w:cstheme="minorHAnsi"/>
          <w:color w:val="000000" w:themeColor="text1"/>
        </w:rPr>
        <w:t>:</w:t>
      </w:r>
    </w:p>
    <w:p w14:paraId="59979E62" w14:textId="630525DB" w:rsidR="008E5054" w:rsidRPr="003A4D55" w:rsidRDefault="008E5054" w:rsidP="00F6708F">
      <w:pPr>
        <w:pStyle w:val="ListParagraph"/>
        <w:numPr>
          <w:ilvl w:val="0"/>
          <w:numId w:val="25"/>
        </w:numPr>
        <w:rPr>
          <w:rFonts w:asciiTheme="minorHAnsi" w:hAnsiTheme="minorHAnsi" w:cstheme="minorHAnsi"/>
          <w:color w:val="000000" w:themeColor="text1"/>
        </w:rPr>
      </w:pPr>
      <w:r w:rsidRPr="003A4D55">
        <w:rPr>
          <w:rFonts w:asciiTheme="minorHAnsi" w:hAnsiTheme="minorHAnsi" w:cstheme="minorHAnsi"/>
          <w:color w:val="000000" w:themeColor="text1"/>
        </w:rPr>
        <w:t xml:space="preserve">Which genres of video game </w:t>
      </w:r>
      <w:r w:rsidR="00745B5A">
        <w:rPr>
          <w:rFonts w:asciiTheme="minorHAnsi" w:hAnsiTheme="minorHAnsi" w:cstheme="minorHAnsi"/>
          <w:color w:val="000000" w:themeColor="text1"/>
        </w:rPr>
        <w:t>were</w:t>
      </w:r>
      <w:r w:rsidR="00855124">
        <w:rPr>
          <w:rFonts w:asciiTheme="minorHAnsi" w:hAnsiTheme="minorHAnsi" w:cstheme="minorHAnsi"/>
          <w:color w:val="000000" w:themeColor="text1"/>
        </w:rPr>
        <w:t xml:space="preserve"> most popular</w:t>
      </w:r>
      <w:r w:rsidRPr="003A4D55">
        <w:rPr>
          <w:rFonts w:asciiTheme="minorHAnsi" w:hAnsiTheme="minorHAnsi" w:cstheme="minorHAnsi"/>
          <w:color w:val="000000" w:themeColor="text1"/>
        </w:rPr>
        <w:t xml:space="preserve"> </w:t>
      </w:r>
      <w:r w:rsidR="00745B5A">
        <w:rPr>
          <w:rFonts w:asciiTheme="minorHAnsi" w:hAnsiTheme="minorHAnsi" w:cstheme="minorHAnsi"/>
          <w:color w:val="000000" w:themeColor="text1"/>
        </w:rPr>
        <w:t>in each</w:t>
      </w:r>
      <w:r w:rsidRPr="003A4D55">
        <w:rPr>
          <w:rFonts w:asciiTheme="minorHAnsi" w:hAnsiTheme="minorHAnsi" w:cstheme="minorHAnsi"/>
          <w:color w:val="000000" w:themeColor="text1"/>
        </w:rPr>
        <w:t xml:space="preserve"> region between 2012 and 2016.</w:t>
      </w:r>
    </w:p>
    <w:p w14:paraId="28A3F7C2" w14:textId="797ED8D9" w:rsidR="008E5054" w:rsidRDefault="008E5054" w:rsidP="00F6708F">
      <w:pPr>
        <w:pStyle w:val="ListParagraph"/>
        <w:numPr>
          <w:ilvl w:val="0"/>
          <w:numId w:val="25"/>
        </w:numPr>
        <w:rPr>
          <w:rFonts w:asciiTheme="minorHAnsi" w:hAnsiTheme="minorHAnsi" w:cstheme="minorHAnsi"/>
          <w:color w:val="000000" w:themeColor="text1"/>
        </w:rPr>
      </w:pPr>
      <w:r w:rsidRPr="003A4D55">
        <w:rPr>
          <w:rFonts w:asciiTheme="minorHAnsi" w:hAnsiTheme="minorHAnsi" w:cstheme="minorHAnsi"/>
          <w:color w:val="000000" w:themeColor="text1"/>
        </w:rPr>
        <w:t xml:space="preserve">Who of </w:t>
      </w:r>
      <w:r w:rsidR="005C44EE">
        <w:rPr>
          <w:rFonts w:asciiTheme="minorHAnsi" w:hAnsiTheme="minorHAnsi" w:cstheme="minorHAnsi"/>
          <w:color w:val="000000" w:themeColor="text1"/>
        </w:rPr>
        <w:t xml:space="preserve">GameCo’s </w:t>
      </w:r>
      <w:r w:rsidRPr="003A4D55">
        <w:rPr>
          <w:rFonts w:asciiTheme="minorHAnsi" w:hAnsiTheme="minorHAnsi" w:cstheme="minorHAnsi"/>
          <w:color w:val="000000" w:themeColor="text1"/>
        </w:rPr>
        <w:t>competitors perform</w:t>
      </w:r>
      <w:r w:rsidR="00745B5A">
        <w:rPr>
          <w:rFonts w:asciiTheme="minorHAnsi" w:hAnsiTheme="minorHAnsi" w:cstheme="minorHAnsi"/>
          <w:color w:val="000000" w:themeColor="text1"/>
        </w:rPr>
        <w:t>ed</w:t>
      </w:r>
      <w:r w:rsidRPr="003A4D55">
        <w:rPr>
          <w:rFonts w:asciiTheme="minorHAnsi" w:hAnsiTheme="minorHAnsi" w:cstheme="minorHAnsi"/>
          <w:color w:val="000000" w:themeColor="text1"/>
        </w:rPr>
        <w:t xml:space="preserve"> best </w:t>
      </w:r>
      <w:r w:rsidR="006104D1">
        <w:rPr>
          <w:rFonts w:asciiTheme="minorHAnsi" w:hAnsiTheme="minorHAnsi" w:cstheme="minorHAnsi"/>
          <w:color w:val="000000" w:themeColor="text1"/>
        </w:rPr>
        <w:t>in each</w:t>
      </w:r>
      <w:r w:rsidRPr="003A4D55">
        <w:rPr>
          <w:rFonts w:asciiTheme="minorHAnsi" w:hAnsiTheme="minorHAnsi" w:cstheme="minorHAnsi"/>
          <w:color w:val="000000" w:themeColor="text1"/>
        </w:rPr>
        <w:t xml:space="preserve"> </w:t>
      </w:r>
      <w:r w:rsidR="00156830" w:rsidRPr="003A4D55">
        <w:rPr>
          <w:rFonts w:asciiTheme="minorHAnsi" w:hAnsiTheme="minorHAnsi" w:cstheme="minorHAnsi"/>
          <w:color w:val="000000" w:themeColor="text1"/>
        </w:rPr>
        <w:t>region</w:t>
      </w:r>
      <w:r w:rsidR="00156830">
        <w:rPr>
          <w:rFonts w:asciiTheme="minorHAnsi" w:hAnsiTheme="minorHAnsi" w:cstheme="minorHAnsi"/>
          <w:color w:val="000000" w:themeColor="text1"/>
        </w:rPr>
        <w:t>.</w:t>
      </w:r>
    </w:p>
    <w:p w14:paraId="137DDA4F" w14:textId="5EC22888" w:rsidR="003E2590" w:rsidRPr="003A4D55" w:rsidRDefault="003E2590" w:rsidP="00F6708F">
      <w:pPr>
        <w:pStyle w:val="ListParagraph"/>
        <w:numPr>
          <w:ilvl w:val="0"/>
          <w:numId w:val="25"/>
        </w:numPr>
        <w:rPr>
          <w:rFonts w:asciiTheme="minorHAnsi" w:hAnsiTheme="minorHAnsi" w:cstheme="minorHAnsi"/>
          <w:color w:val="000000" w:themeColor="text1"/>
        </w:rPr>
      </w:pPr>
      <w:r>
        <w:rPr>
          <w:rFonts w:asciiTheme="minorHAnsi" w:hAnsiTheme="minorHAnsi" w:cstheme="minorHAnsi"/>
          <w:color w:val="000000" w:themeColor="text1"/>
        </w:rPr>
        <w:t>A summary of recommendation</w:t>
      </w:r>
      <w:r w:rsidR="00906FDE">
        <w:rPr>
          <w:rFonts w:asciiTheme="minorHAnsi" w:hAnsiTheme="minorHAnsi" w:cstheme="minorHAnsi"/>
          <w:color w:val="000000" w:themeColor="text1"/>
        </w:rPr>
        <w:t>s</w:t>
      </w:r>
      <w:r>
        <w:rPr>
          <w:rFonts w:asciiTheme="minorHAnsi" w:hAnsiTheme="minorHAnsi" w:cstheme="minorHAnsi"/>
          <w:color w:val="000000" w:themeColor="text1"/>
        </w:rPr>
        <w:t>.</w:t>
      </w:r>
    </w:p>
    <w:p w14:paraId="3564A55E" w14:textId="77777777" w:rsidR="008E5054" w:rsidRPr="003A4D55" w:rsidRDefault="008E5054" w:rsidP="008E5054">
      <w:pPr>
        <w:rPr>
          <w:rFonts w:asciiTheme="minorHAnsi" w:hAnsiTheme="minorHAnsi" w:cstheme="minorHAnsi"/>
          <w:color w:val="000000" w:themeColor="text1"/>
        </w:rPr>
      </w:pPr>
    </w:p>
    <w:p w14:paraId="634883FC" w14:textId="77777777" w:rsidR="008428E3" w:rsidRDefault="008428E3" w:rsidP="003A4D55"/>
    <w:p w14:paraId="2BB23494" w14:textId="22E00649" w:rsidR="00DF409A" w:rsidRDefault="00DF409A" w:rsidP="003A4D55">
      <w:pPr>
        <w:sectPr w:rsidR="00DF409A" w:rsidSect="00034C36">
          <w:pgSz w:w="11906" w:h="16838"/>
          <w:pgMar w:top="1134" w:right="1134" w:bottom="851" w:left="1134" w:header="709" w:footer="709" w:gutter="0"/>
          <w:cols w:space="708"/>
          <w:docGrid w:linePitch="360"/>
        </w:sectPr>
      </w:pPr>
    </w:p>
    <w:p w14:paraId="62FF8838" w14:textId="77777777" w:rsidR="00EA4776" w:rsidRDefault="00EA4776" w:rsidP="00EA4776">
      <w:pPr>
        <w:pStyle w:val="Heading2"/>
      </w:pPr>
      <w:r>
        <w:lastRenderedPageBreak/>
        <w:t>The Data Set</w:t>
      </w:r>
    </w:p>
    <w:p w14:paraId="0019B4DF" w14:textId="7AD3CA5C" w:rsidR="00EA4776" w:rsidRDefault="00EA4776" w:rsidP="00EA4776">
      <w:r>
        <w:t xml:space="preserve">The data set provided </w:t>
      </w:r>
      <w:r w:rsidR="000A1FF0">
        <w:t xml:space="preserve">by VGChartz </w:t>
      </w:r>
      <w:r>
        <w:t xml:space="preserve">which spanned 30 years from 1980 to 2020 was assessed for completeness.  </w:t>
      </w:r>
      <w:r w:rsidR="005D1506">
        <w:t>An i</w:t>
      </w:r>
      <w:r>
        <w:t xml:space="preserve">nitial </w:t>
      </w:r>
      <w:r w:rsidR="005D1506">
        <w:t>inspection</w:t>
      </w:r>
      <w:r>
        <w:t xml:space="preserve"> </w:t>
      </w:r>
      <w:r w:rsidR="005D1506">
        <w:t>showed</w:t>
      </w:r>
      <w:r>
        <w:t xml:space="preserve"> that the number of recorded observations for the earlier and later years were not significant in volume compare to</w:t>
      </w:r>
      <w:r w:rsidR="005D1506">
        <w:t xml:space="preserve"> the number of</w:t>
      </w:r>
      <w:r>
        <w:t xml:space="preserve"> observation</w:t>
      </w:r>
      <w:r w:rsidR="005D1506">
        <w:t>s</w:t>
      </w:r>
      <w:r>
        <w:t xml:space="preserve"> recorded in the middle years.  For example, there were only 9 sales observations recorded in 1980, compared to over 1000 observations being recorded in 2011.</w:t>
      </w:r>
    </w:p>
    <w:p w14:paraId="753C9165" w14:textId="77777777" w:rsidR="00EA4776" w:rsidRDefault="00EA4776" w:rsidP="00EA4776">
      <w:r>
        <w:t>For this reason, the data set year range was trimmed to include consecutive years where a significant number of observations existed (&gt;100 observations) which resulted in a revised year range of 1994 to 2016.</w:t>
      </w:r>
    </w:p>
    <w:p w14:paraId="2FA2CD59" w14:textId="77777777" w:rsidR="00EA4776" w:rsidRDefault="00EA4776" w:rsidP="00EA4776"/>
    <w:p w14:paraId="13ACA7FA" w14:textId="1D74B1CF" w:rsidR="00EA4776" w:rsidRDefault="000A1FF0" w:rsidP="00EA4776">
      <w:pPr>
        <w:pStyle w:val="Heading2"/>
      </w:pPr>
      <w:r>
        <w:t xml:space="preserve">Gaming Industry </w:t>
      </w:r>
      <w:r w:rsidR="00EA4776">
        <w:t>Sales Performance</w:t>
      </w:r>
    </w:p>
    <w:p w14:paraId="61B4D0B9" w14:textId="77777777" w:rsidR="00EA4776" w:rsidRDefault="00EA4776" w:rsidP="00EA4776">
      <w:r>
        <w:t>A preliminary analysis of video game unit sales by region from 1994 to 2016 showed that, as an overall picture, sales had peaked in 2008 for three out of four regions, and have slowly been on the decline in all regions ever since.  The analysis also revealed that sales in North America contributed the greatest proportion to global sales for the majority of recorded years, refer to Figure 1.</w:t>
      </w:r>
    </w:p>
    <w:p w14:paraId="70B83E2B" w14:textId="77777777" w:rsidR="00EA4776" w:rsidRDefault="00EA4776" w:rsidP="00EA4776">
      <w:pPr>
        <w:jc w:val="center"/>
      </w:pPr>
      <w:r>
        <w:rPr>
          <w:noProof/>
        </w:rPr>
        <mc:AlternateContent>
          <mc:Choice Requires="wps">
            <w:drawing>
              <wp:anchor distT="0" distB="0" distL="114300" distR="114300" simplePos="0" relativeHeight="251659264" behindDoc="0" locked="0" layoutInCell="1" allowOverlap="1" wp14:anchorId="53C33338" wp14:editId="0290D24D">
                <wp:simplePos x="0" y="0"/>
                <wp:positionH relativeFrom="column">
                  <wp:posOffset>2259330</wp:posOffset>
                </wp:positionH>
                <wp:positionV relativeFrom="paragraph">
                  <wp:posOffset>3785235</wp:posOffset>
                </wp:positionV>
                <wp:extent cx="1691640" cy="2971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691640" cy="297180"/>
                        </a:xfrm>
                        <a:prstGeom prst="rect">
                          <a:avLst/>
                        </a:prstGeom>
                        <a:noFill/>
                        <a:ln w="6350">
                          <a:noFill/>
                        </a:ln>
                      </wps:spPr>
                      <wps:txbx>
                        <w:txbxContent>
                          <w:p w14:paraId="5AF37CA6"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C33338" id="_x0000_t202" coordsize="21600,21600" o:spt="202" path="m,l,21600r21600,l21600,xe">
                <v:stroke joinstyle="miter"/>
                <v:path gradientshapeok="t" o:connecttype="rect"/>
              </v:shapetype>
              <v:shape id="Text Box 5" o:spid="_x0000_s1026" type="#_x0000_t202" style="position:absolute;left:0;text-align:left;margin-left:177.9pt;margin-top:298.05pt;width:133.2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" filled="f" stroked="f" strokeweight=".5pt">
                <v:textbox>
                  <w:txbxContent>
                    <w:p w14:paraId="5AF37CA6"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Figure 1</w:t>
                      </w:r>
                    </w:p>
                  </w:txbxContent>
                </v:textbox>
              </v:shape>
            </w:pict>
          </mc:Fallback>
        </mc:AlternateContent>
      </w:r>
      <w:r>
        <w:rPr>
          <w:noProof/>
        </w:rPr>
        <w:drawing>
          <wp:inline distT="0" distB="0" distL="0" distR="0" wp14:anchorId="08E0771E" wp14:editId="161D22D7">
            <wp:extent cx="6120130" cy="3806190"/>
            <wp:effectExtent l="0" t="0" r="13970" b="3810"/>
            <wp:docPr id="4" name="Chart 4">
              <a:extLst xmlns:a="http://schemas.openxmlformats.org/drawingml/2006/main">
                <a:ext uri="{FF2B5EF4-FFF2-40B4-BE49-F238E27FC236}">
                  <a16:creationId xmlns:a16="http://schemas.microsoft.com/office/drawing/2014/main" id="{374B9F14-0612-42EF-BC19-7648CFF6E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35E637" w14:textId="77777777" w:rsidR="00EA4776" w:rsidRDefault="00EA4776" w:rsidP="00EA4776">
      <w:pPr>
        <w:jc w:val="center"/>
      </w:pPr>
    </w:p>
    <w:p w14:paraId="19CDA9B8" w14:textId="77777777" w:rsidR="00EA4776" w:rsidRDefault="00EA4776" w:rsidP="00EA4776">
      <w:r>
        <w:t>Having revealed that video games sales have been on the decline since 2008 for all regions without exception, a more concentrated examination of the years following this peak showed that sales for all regions were potentially set to converge, meaning that North America no longer dominated the industry, refer to Figure 2.</w:t>
      </w:r>
    </w:p>
    <w:p w14:paraId="01F4B43D" w14:textId="77777777" w:rsidR="00EA4776" w:rsidRDefault="00EA4776" w:rsidP="00EA4776">
      <w:pPr>
        <w:jc w:val="center"/>
      </w:pPr>
      <w:r>
        <w:rPr>
          <w:noProof/>
        </w:rPr>
        <mc:AlternateContent>
          <mc:Choice Requires="wps">
            <w:drawing>
              <wp:anchor distT="0" distB="0" distL="114300" distR="114300" simplePos="0" relativeHeight="251660288" behindDoc="0" locked="0" layoutInCell="1" allowOverlap="1" wp14:anchorId="77F5B7FE" wp14:editId="28A088F8">
                <wp:simplePos x="0" y="0"/>
                <wp:positionH relativeFrom="column">
                  <wp:posOffset>2247900</wp:posOffset>
                </wp:positionH>
                <wp:positionV relativeFrom="paragraph">
                  <wp:posOffset>3484245</wp:posOffset>
                </wp:positionV>
                <wp:extent cx="1691640" cy="2971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1691640" cy="297180"/>
                        </a:xfrm>
                        <a:prstGeom prst="rect">
                          <a:avLst/>
                        </a:prstGeom>
                        <a:noFill/>
                        <a:ln w="6350">
                          <a:noFill/>
                        </a:ln>
                      </wps:spPr>
                      <wps:txbx>
                        <w:txbxContent>
                          <w:p w14:paraId="4A01E29E"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5B7FE" id="Text Box 7" o:spid="_x0000_s1027" type="#_x0000_t202" style="position:absolute;left:0;text-align:left;margin-left:177pt;margin-top:274.35pt;width:133.2pt;height:2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" filled="f" stroked="f" strokeweight=".5pt">
                <v:textbox>
                  <w:txbxContent>
                    <w:p w14:paraId="4A01E29E"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2</w:t>
                      </w:r>
                    </w:p>
                  </w:txbxContent>
                </v:textbox>
              </v:shape>
            </w:pict>
          </mc:Fallback>
        </mc:AlternateContent>
      </w:r>
      <w:r>
        <w:rPr>
          <w:noProof/>
        </w:rPr>
        <w:drawing>
          <wp:inline distT="0" distB="0" distL="0" distR="0" wp14:anchorId="31B34D5D" wp14:editId="46ABB643">
            <wp:extent cx="5448300" cy="3505200"/>
            <wp:effectExtent l="0" t="0" r="0" b="0"/>
            <wp:docPr id="6" name="Chart 6">
              <a:extLst xmlns:a="http://schemas.openxmlformats.org/drawingml/2006/main">
                <a:ext uri="{FF2B5EF4-FFF2-40B4-BE49-F238E27FC236}">
                  <a16:creationId xmlns:a16="http://schemas.microsoft.com/office/drawing/2014/main" id="{C1BF7400-B7D3-4939-98AA-BDE08B6698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B34B13" w14:textId="77777777" w:rsidR="00EA4776" w:rsidRDefault="00EA4776" w:rsidP="00EA4776"/>
    <w:p w14:paraId="3053D340" w14:textId="3D30FFD3" w:rsidR="00EA4776" w:rsidRDefault="00EA4776" w:rsidP="00EA4776">
      <w:pPr>
        <w:pStyle w:val="Heading2"/>
      </w:pPr>
      <w:r>
        <w:t xml:space="preserve">Changes in the </w:t>
      </w:r>
      <w:r w:rsidR="00D465B5">
        <w:t>Industry</w:t>
      </w:r>
    </w:p>
    <w:p w14:paraId="1ADC0356" w14:textId="53346829" w:rsidR="00EA4776" w:rsidRDefault="00EA4776" w:rsidP="00EA4776">
      <w:r>
        <w:t>Over the years, the gaming industry has moved from a product-oriented business, where games are purchased either physically or digitally, to gaming-as-a-service.  Games are not just played off-line via console anymore but now many involve an on-line subscription to streaming services where games can still be purchased digitally but more likely played as part of the subscription</w:t>
      </w:r>
      <w:r w:rsidR="00636D11">
        <w:t>,</w:t>
      </w:r>
      <w:r>
        <w:t xml:space="preserve"> with multiple on-line players</w:t>
      </w:r>
      <w:r w:rsidR="00636D11">
        <w:t>, all</w:t>
      </w:r>
      <w:r>
        <w:t xml:space="preserve"> having access to all the latest material.</w:t>
      </w:r>
    </w:p>
    <w:p w14:paraId="0578BFDB" w14:textId="77777777" w:rsidR="00EA4776" w:rsidRDefault="00EA4776" w:rsidP="00EA4776">
      <w:r>
        <w:t>Gaming via mobile device has also been available for a number of years, and with the advent of the Smart phone arriving in 2007, the world of mobile gaming has become a firm feature.</w:t>
      </w:r>
    </w:p>
    <w:p w14:paraId="0464DE39" w14:textId="5E17417C" w:rsidR="00EA4776" w:rsidRDefault="00EA4776" w:rsidP="00EA4776">
      <w:r>
        <w:t>Consideration of these modern revelations: gaming as a service, and mobile gaming</w:t>
      </w:r>
      <w:r w:rsidR="00CF6C85">
        <w:t>;</w:t>
      </w:r>
      <w:r>
        <w:t xml:space="preserve"> it </w:t>
      </w:r>
      <w:r w:rsidR="00CF6C85">
        <w:t xml:space="preserve">is </w:t>
      </w:r>
      <w:r>
        <w:t>not difficult to understand how video game sales has declined.</w:t>
      </w:r>
    </w:p>
    <w:p w14:paraId="2CADE3E2" w14:textId="77777777" w:rsidR="00EA4776" w:rsidRDefault="00EA4776" w:rsidP="00EA4776">
      <w:pPr>
        <w:spacing w:before="0" w:after="200"/>
        <w:rPr>
          <w:rFonts w:asciiTheme="minorHAnsi" w:hAnsiTheme="minorHAnsi" w:cstheme="minorBidi"/>
          <w:b/>
          <w:sz w:val="24"/>
        </w:rPr>
      </w:pPr>
    </w:p>
    <w:p w14:paraId="260C3144" w14:textId="77777777" w:rsidR="00EA4776" w:rsidRDefault="00EA4776" w:rsidP="00EA4776">
      <w:pPr>
        <w:pStyle w:val="Heading2"/>
      </w:pPr>
      <w:r>
        <w:t>Present and Future Trends</w:t>
      </w:r>
    </w:p>
    <w:p w14:paraId="3CCAC137" w14:textId="33E55D5E" w:rsidR="00EA4776" w:rsidRDefault="00EA4776" w:rsidP="00EA4776">
      <w:r>
        <w:t xml:space="preserve">Figure 3 shows a downward trend for video game sales between 2014 and 2016, although Figure 1 confirmed that this has been the case since 2008.  Figure 3 is a </w:t>
      </w:r>
      <w:r w:rsidR="009B5654">
        <w:t>magnified</w:t>
      </w:r>
      <w:r>
        <w:t xml:space="preserve"> view of this situation so that a more details analysis can be drawn from that data.  Taking into account that sales in general are on the decrease, the graph suggests that the following is true:</w:t>
      </w:r>
    </w:p>
    <w:p w14:paraId="496327B5" w14:textId="77777777" w:rsidR="00EA4776" w:rsidRDefault="00EA4776" w:rsidP="00EA4776">
      <w:pPr>
        <w:pStyle w:val="ListParagraph"/>
        <w:numPr>
          <w:ilvl w:val="0"/>
          <w:numId w:val="21"/>
        </w:numPr>
      </w:pPr>
      <w:r>
        <w:t>Video game sales in the North American market will no longer dominate, and Europe is looking likely to edge in front.</w:t>
      </w:r>
    </w:p>
    <w:p w14:paraId="7BF72497" w14:textId="77777777" w:rsidR="00EA4776" w:rsidRDefault="00EA4776" w:rsidP="00EA4776">
      <w:pPr>
        <w:pStyle w:val="ListParagraph"/>
        <w:numPr>
          <w:ilvl w:val="0"/>
          <w:numId w:val="21"/>
        </w:numPr>
      </w:pPr>
      <w:r>
        <w:t>Sales in Japan and “Other” regions remain relatively steady.</w:t>
      </w:r>
    </w:p>
    <w:p w14:paraId="5343ACE4" w14:textId="77777777" w:rsidR="00EA4776" w:rsidRDefault="00EA4776" w:rsidP="00EA4776">
      <w:pPr>
        <w:pStyle w:val="ListParagraph"/>
      </w:pPr>
    </w:p>
    <w:p w14:paraId="664C805E" w14:textId="77777777" w:rsidR="00EA4776" w:rsidRDefault="00EA4776" w:rsidP="00EA4776">
      <w:pPr>
        <w:jc w:val="center"/>
      </w:pPr>
      <w:r>
        <w:rPr>
          <w:noProof/>
        </w:rPr>
        <mc:AlternateContent>
          <mc:Choice Requires="wps">
            <w:drawing>
              <wp:anchor distT="0" distB="0" distL="114300" distR="114300" simplePos="0" relativeHeight="251662336" behindDoc="0" locked="0" layoutInCell="1" allowOverlap="1" wp14:anchorId="447BFB23" wp14:editId="635E3C8A">
                <wp:simplePos x="0" y="0"/>
                <wp:positionH relativeFrom="column">
                  <wp:posOffset>2263140</wp:posOffset>
                </wp:positionH>
                <wp:positionV relativeFrom="paragraph">
                  <wp:posOffset>3441065</wp:posOffset>
                </wp:positionV>
                <wp:extent cx="1691640" cy="2971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1691640" cy="297180"/>
                        </a:xfrm>
                        <a:prstGeom prst="rect">
                          <a:avLst/>
                        </a:prstGeom>
                        <a:noFill/>
                        <a:ln w="6350">
                          <a:noFill/>
                        </a:ln>
                      </wps:spPr>
                      <wps:txbx>
                        <w:txbxContent>
                          <w:p w14:paraId="455F99F8"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BFB23" id="Text Box 11" o:spid="_x0000_s1028" type="#_x0000_t202" style="position:absolute;left:0;text-align:left;margin-left:178.2pt;margin-top:270.95pt;width:133.2pt;height:2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" filled="f" stroked="f" strokeweight=".5pt">
                <v:textbox>
                  <w:txbxContent>
                    <w:p w14:paraId="455F99F8"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3</w:t>
                      </w:r>
                    </w:p>
                  </w:txbxContent>
                </v:textbox>
              </v:shape>
            </w:pict>
          </mc:Fallback>
        </mc:AlternateContent>
      </w:r>
      <w:r>
        <w:rPr>
          <w:noProof/>
        </w:rPr>
        <w:drawing>
          <wp:inline distT="0" distB="0" distL="0" distR="0" wp14:anchorId="31455745" wp14:editId="4C31C370">
            <wp:extent cx="5402580" cy="3467100"/>
            <wp:effectExtent l="0" t="0" r="7620" b="0"/>
            <wp:docPr id="10" name="Chart 10">
              <a:extLst xmlns:a="http://schemas.openxmlformats.org/drawingml/2006/main">
                <a:ext uri="{FF2B5EF4-FFF2-40B4-BE49-F238E27FC236}">
                  <a16:creationId xmlns:a16="http://schemas.microsoft.com/office/drawing/2014/main" id="{FEA95870-D054-4583-97ED-182C79CD95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E57250" w14:textId="77777777" w:rsidR="00EA4776" w:rsidRDefault="00EA4776" w:rsidP="00F27FB1">
      <w:pPr>
        <w:spacing w:after="240"/>
        <w:jc w:val="center"/>
      </w:pPr>
    </w:p>
    <w:p w14:paraId="405F2A93" w14:textId="77777777" w:rsidR="00EA4776" w:rsidRDefault="00EA4776" w:rsidP="00EA4776">
      <w:r>
        <w:t>Figure 4 shows the regional contribution to global sales as a percentage over 3 years (2013 to 2016), this graph confirms the insights stated above:</w:t>
      </w:r>
    </w:p>
    <w:p w14:paraId="1DF11622" w14:textId="18FA84DC" w:rsidR="00EA4776" w:rsidRDefault="009B5654" w:rsidP="00EA4776">
      <w:pPr>
        <w:pStyle w:val="ListParagraph"/>
        <w:numPr>
          <w:ilvl w:val="0"/>
          <w:numId w:val="21"/>
        </w:numPr>
      </w:pPr>
      <w:r>
        <w:t xml:space="preserve">It is looking probably that </w:t>
      </w:r>
      <w:r w:rsidR="00EA4776">
        <w:t xml:space="preserve">Europe </w:t>
      </w:r>
      <w:r>
        <w:t>will make</w:t>
      </w:r>
      <w:r w:rsidR="00EA4776">
        <w:t xml:space="preserve"> the biggest contribution to global sales.</w:t>
      </w:r>
    </w:p>
    <w:p w14:paraId="44EAC9D4" w14:textId="77777777" w:rsidR="00EA4776" w:rsidRDefault="00EA4776" w:rsidP="00EA4776">
      <w:pPr>
        <w:pStyle w:val="ListParagraph"/>
        <w:numPr>
          <w:ilvl w:val="0"/>
          <w:numId w:val="21"/>
        </w:numPr>
      </w:pPr>
      <w:r>
        <w:t>Japan’s contribution will be a greater percentage as a result in the fall in North American sales.</w:t>
      </w:r>
    </w:p>
    <w:p w14:paraId="7E4D9BAF" w14:textId="77777777" w:rsidR="00EA4776" w:rsidRDefault="00EA4776" w:rsidP="00EA4776">
      <w:pPr>
        <w:pStyle w:val="ListParagraph"/>
        <w:numPr>
          <w:ilvl w:val="0"/>
          <w:numId w:val="21"/>
        </w:numPr>
      </w:pPr>
      <w:r>
        <w:t>“Other” regions remain steady.</w:t>
      </w:r>
    </w:p>
    <w:p w14:paraId="025A8855" w14:textId="77777777" w:rsidR="00EA4776" w:rsidRDefault="00EA4776" w:rsidP="00EA4776">
      <w:pPr>
        <w:pStyle w:val="ListParagraph"/>
      </w:pPr>
    </w:p>
    <w:p w14:paraId="662CCCD0" w14:textId="77777777" w:rsidR="00EA4776" w:rsidRDefault="00EA4776" w:rsidP="00EA4776">
      <w:pPr>
        <w:jc w:val="center"/>
      </w:pPr>
      <w:r>
        <w:rPr>
          <w:noProof/>
        </w:rPr>
        <mc:AlternateContent>
          <mc:Choice Requires="wps">
            <w:drawing>
              <wp:anchor distT="0" distB="0" distL="114300" distR="114300" simplePos="0" relativeHeight="251661312" behindDoc="0" locked="0" layoutInCell="1" allowOverlap="1" wp14:anchorId="2C238392" wp14:editId="697B3062">
                <wp:simplePos x="0" y="0"/>
                <wp:positionH relativeFrom="column">
                  <wp:posOffset>2255520</wp:posOffset>
                </wp:positionH>
                <wp:positionV relativeFrom="paragraph">
                  <wp:posOffset>3278505</wp:posOffset>
                </wp:positionV>
                <wp:extent cx="1691640" cy="2971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1691640" cy="297180"/>
                        </a:xfrm>
                        <a:prstGeom prst="rect">
                          <a:avLst/>
                        </a:prstGeom>
                        <a:noFill/>
                        <a:ln w="6350">
                          <a:noFill/>
                        </a:ln>
                      </wps:spPr>
                      <wps:txbx>
                        <w:txbxContent>
                          <w:p w14:paraId="1CC90F60"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238392" id="Text Box 9" o:spid="_x0000_s1029" type="#_x0000_t202" style="position:absolute;left:0;text-align:left;margin-left:177.6pt;margin-top:258.15pt;width:133.2pt;height:2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" filled="f" stroked="f" strokeweight=".5pt">
                <v:textbox>
                  <w:txbxContent>
                    <w:p w14:paraId="1CC90F60"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4</w:t>
                      </w:r>
                    </w:p>
                  </w:txbxContent>
                </v:textbox>
              </v:shape>
            </w:pict>
          </mc:Fallback>
        </mc:AlternateContent>
      </w:r>
      <w:r>
        <w:rPr>
          <w:noProof/>
        </w:rPr>
        <w:drawing>
          <wp:inline distT="0" distB="0" distL="0" distR="0" wp14:anchorId="35FC1038" wp14:editId="22070E69">
            <wp:extent cx="5448300" cy="3299460"/>
            <wp:effectExtent l="0" t="0" r="0" b="15240"/>
            <wp:docPr id="8" name="Chart 8">
              <a:extLst xmlns:a="http://schemas.openxmlformats.org/drawingml/2006/main">
                <a:ext uri="{FF2B5EF4-FFF2-40B4-BE49-F238E27FC236}">
                  <a16:creationId xmlns:a16="http://schemas.microsoft.com/office/drawing/2014/main" id="{B190B7E8-6304-4BD7-B6F2-1CAA2571E1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BA40A6" w14:textId="77777777" w:rsidR="00EA4776" w:rsidRDefault="00EA4776" w:rsidP="00EA4776">
      <w:pPr>
        <w:jc w:val="center"/>
      </w:pPr>
    </w:p>
    <w:p w14:paraId="7CD46E6A" w14:textId="77777777" w:rsidR="00242113" w:rsidRDefault="00242113">
      <w:pPr>
        <w:spacing w:before="0" w:after="200"/>
        <w:rPr>
          <w:rFonts w:asciiTheme="minorHAnsi" w:hAnsiTheme="minorHAnsi" w:cstheme="minorBidi"/>
          <w:b/>
          <w:sz w:val="24"/>
        </w:rPr>
      </w:pPr>
      <w:r>
        <w:br w:type="page"/>
      </w:r>
    </w:p>
    <w:p w14:paraId="074EFF2B" w14:textId="19CBF2DF" w:rsidR="00EA4776" w:rsidRDefault="00BD6D77" w:rsidP="00EA4776">
      <w:pPr>
        <w:pStyle w:val="Heading2"/>
      </w:pPr>
      <w:r>
        <w:t xml:space="preserve">Budget </w:t>
      </w:r>
      <w:r w:rsidR="00EA4776">
        <w:t>Recommendation</w:t>
      </w:r>
    </w:p>
    <w:p w14:paraId="7C9FC672" w14:textId="2A0FBA66" w:rsidR="00EA4776" w:rsidRDefault="00EA4776" w:rsidP="00BD6D77">
      <w:r>
        <w:t>Based on the earlier finding</w:t>
      </w:r>
      <w:r w:rsidR="00242113">
        <w:t>s</w:t>
      </w:r>
      <w:r>
        <w:t>, Figure 5 show</w:t>
      </w:r>
      <w:r w:rsidR="00242113">
        <w:t>s</w:t>
      </w:r>
      <w:r>
        <w:t xml:space="preserve"> the recommended budget allowance per region.</w:t>
      </w:r>
    </w:p>
    <w:p w14:paraId="188CFB9A" w14:textId="6D89352C" w:rsidR="00EA4776" w:rsidRDefault="00EA4776" w:rsidP="00EA4776">
      <w:pPr>
        <w:jc w:val="center"/>
      </w:pPr>
      <w:r>
        <w:rPr>
          <w:noProof/>
        </w:rPr>
        <mc:AlternateContent>
          <mc:Choice Requires="wps">
            <w:drawing>
              <wp:anchor distT="0" distB="0" distL="114300" distR="114300" simplePos="0" relativeHeight="251663360" behindDoc="0" locked="0" layoutInCell="1" allowOverlap="1" wp14:anchorId="03C0925D" wp14:editId="0DBBA074">
                <wp:simplePos x="0" y="0"/>
                <wp:positionH relativeFrom="column">
                  <wp:posOffset>2255520</wp:posOffset>
                </wp:positionH>
                <wp:positionV relativeFrom="paragraph">
                  <wp:posOffset>3229610</wp:posOffset>
                </wp:positionV>
                <wp:extent cx="1691640" cy="2971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1691640" cy="297180"/>
                        </a:xfrm>
                        <a:prstGeom prst="rect">
                          <a:avLst/>
                        </a:prstGeom>
                        <a:noFill/>
                        <a:ln w="6350">
                          <a:noFill/>
                        </a:ln>
                      </wps:spPr>
                      <wps:txbx>
                        <w:txbxContent>
                          <w:p w14:paraId="3874E1B5"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C0925D" id="Text Box 13" o:spid="_x0000_s1030" type="#_x0000_t202" style="position:absolute;left:0;text-align:left;margin-left:177.6pt;margin-top:254.3pt;width:133.2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" filled="f" stroked="f" strokeweight=".5pt">
                <v:textbox>
                  <w:txbxContent>
                    <w:p w14:paraId="3874E1B5"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5</w:t>
                      </w:r>
                    </w:p>
                  </w:txbxContent>
                </v:textbox>
              </v:shape>
            </w:pict>
          </mc:Fallback>
        </mc:AlternateContent>
      </w:r>
      <w:r w:rsidR="00BA6223">
        <w:rPr>
          <w:noProof/>
        </w:rPr>
        <w:drawing>
          <wp:inline distT="0" distB="0" distL="0" distR="0" wp14:anchorId="43C9C93A" wp14:editId="2F3993CF">
            <wp:extent cx="4812030" cy="3265170"/>
            <wp:effectExtent l="0" t="0" r="7620" b="11430"/>
            <wp:docPr id="3" name="Chart 3">
              <a:extLst xmlns:a="http://schemas.openxmlformats.org/drawingml/2006/main">
                <a:ext uri="{FF2B5EF4-FFF2-40B4-BE49-F238E27FC236}">
                  <a16:creationId xmlns:a16="http://schemas.microsoft.com/office/drawing/2014/main" id="{4C9E8715-291A-409F-8D7B-42F255066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9D03E8" w14:textId="77777777" w:rsidR="00EA4776" w:rsidRDefault="00EA4776" w:rsidP="00EA4776">
      <w:pPr>
        <w:jc w:val="center"/>
      </w:pPr>
    </w:p>
    <w:p w14:paraId="77C35FC6" w14:textId="09B8AACF" w:rsidR="008D0AA0" w:rsidRDefault="008D0AA0" w:rsidP="008D0AA0">
      <w:pPr>
        <w:pStyle w:val="Heading2"/>
      </w:pPr>
      <w:r>
        <w:t>Further Information</w:t>
      </w:r>
      <w:r w:rsidR="005D1127">
        <w:t xml:space="preserve"> – Video Game Genre</w:t>
      </w:r>
    </w:p>
    <w:p w14:paraId="2CFB28A2" w14:textId="330EEF05" w:rsidR="00315709" w:rsidRDefault="00315709" w:rsidP="008D0AA0">
      <w:r>
        <w:t xml:space="preserve">Having revealed the suggested budget allocation for each region, it is worth noting </w:t>
      </w:r>
      <w:r w:rsidR="005C5BAB">
        <w:t>Figure 6 below</w:t>
      </w:r>
      <w:r>
        <w:t xml:space="preserve"> which show</w:t>
      </w:r>
      <w:r w:rsidR="005C0849">
        <w:t>s</w:t>
      </w:r>
      <w:r>
        <w:t xml:space="preserve"> the popularity of video game genre across the various regions.</w:t>
      </w:r>
      <w:r w:rsidR="0034149C">
        <w:t xml:space="preserve">  The graph has been ordered by popularity in Europe</w:t>
      </w:r>
      <w:r w:rsidR="00A61DA2">
        <w:t>,</w:t>
      </w:r>
      <w:r w:rsidR="0034149C">
        <w:t xml:space="preserve"> as Europe has the larges</w:t>
      </w:r>
      <w:r w:rsidR="005C0849">
        <w:t>t</w:t>
      </w:r>
      <w:r w:rsidR="0034149C">
        <w:t xml:space="preserve"> budget allocation at 40%.</w:t>
      </w:r>
    </w:p>
    <w:p w14:paraId="0F7D6738" w14:textId="72C84D80" w:rsidR="00315709" w:rsidRDefault="005D1127" w:rsidP="005D1127">
      <w:pPr>
        <w:jc w:val="center"/>
      </w:pPr>
      <w:r>
        <w:rPr>
          <w:noProof/>
        </w:rPr>
        <mc:AlternateContent>
          <mc:Choice Requires="wps">
            <w:drawing>
              <wp:anchor distT="0" distB="0" distL="114300" distR="114300" simplePos="0" relativeHeight="251665408" behindDoc="0" locked="0" layoutInCell="1" allowOverlap="1" wp14:anchorId="3A3A76E5" wp14:editId="228F4D7D">
                <wp:simplePos x="0" y="0"/>
                <wp:positionH relativeFrom="column">
                  <wp:posOffset>2255520</wp:posOffset>
                </wp:positionH>
                <wp:positionV relativeFrom="paragraph">
                  <wp:posOffset>3767455</wp:posOffset>
                </wp:positionV>
                <wp:extent cx="1691640" cy="2971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1691640" cy="297180"/>
                        </a:xfrm>
                        <a:prstGeom prst="rect">
                          <a:avLst/>
                        </a:prstGeom>
                        <a:noFill/>
                        <a:ln w="6350">
                          <a:noFill/>
                        </a:ln>
                      </wps:spPr>
                      <wps:txbx>
                        <w:txbxContent>
                          <w:p w14:paraId="7B25F193" w14:textId="2F963877" w:rsidR="005D1127" w:rsidRPr="008E5327" w:rsidRDefault="005D1127" w:rsidP="005D1127">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A76E5" id="Text Box 2" o:spid="_x0000_s1031" type="#_x0000_t202" style="position:absolute;left:0;text-align:left;margin-left:177.6pt;margin-top:296.65pt;width:133.2pt;height:2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" filled="f" stroked="f" strokeweight=".5pt">
                <v:textbox>
                  <w:txbxContent>
                    <w:p w14:paraId="7B25F193" w14:textId="2F963877" w:rsidR="005D1127" w:rsidRPr="008E5327" w:rsidRDefault="005D1127" w:rsidP="005D1127">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6</w:t>
                      </w:r>
                    </w:p>
                  </w:txbxContent>
                </v:textbox>
              </v:shape>
            </w:pict>
          </mc:Fallback>
        </mc:AlternateContent>
      </w:r>
      <w:r w:rsidR="00315709">
        <w:rPr>
          <w:noProof/>
        </w:rPr>
        <w:drawing>
          <wp:inline distT="0" distB="0" distL="0" distR="0" wp14:anchorId="6C3D36A4" wp14:editId="0F63E3DE">
            <wp:extent cx="5509260" cy="3787140"/>
            <wp:effectExtent l="0" t="0" r="15240" b="3810"/>
            <wp:docPr id="1" name="Chart 1">
              <a:extLst xmlns:a="http://schemas.openxmlformats.org/drawingml/2006/main">
                <a:ext uri="{FF2B5EF4-FFF2-40B4-BE49-F238E27FC236}">
                  <a16:creationId xmlns:a16="http://schemas.microsoft.com/office/drawing/2014/main" id="{93FEDF30-D0F7-48C5-BC06-208F4AFA3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C0C02F0" w14:textId="52737B7B" w:rsidR="006D7B99" w:rsidRDefault="006D7B99" w:rsidP="006D7B99">
      <w:pPr>
        <w:pStyle w:val="Heading2"/>
      </w:pPr>
      <w:r>
        <w:t>Game Genre Recommendation</w:t>
      </w:r>
    </w:p>
    <w:p w14:paraId="7E163823" w14:textId="502B8A6C" w:rsidR="00EA4776" w:rsidRDefault="006D7B99" w:rsidP="00EA4776">
      <w:r>
        <w:t>The table below summarizes the 1</w:t>
      </w:r>
      <w:r w:rsidRPr="006D7B99">
        <w:rPr>
          <w:vertAlign w:val="superscript"/>
        </w:rPr>
        <w:t>st</w:t>
      </w:r>
      <w:r>
        <w:t xml:space="preserve"> and 2</w:t>
      </w:r>
      <w:r w:rsidRPr="006D7B99">
        <w:rPr>
          <w:vertAlign w:val="superscript"/>
        </w:rPr>
        <w:t>nd</w:t>
      </w:r>
      <w:r>
        <w:t xml:space="preserve"> most popular genre of game by region.  Given that Action is either 1</w:t>
      </w:r>
      <w:r w:rsidRPr="006D7B99">
        <w:rPr>
          <w:vertAlign w:val="superscript"/>
        </w:rPr>
        <w:t>st</w:t>
      </w:r>
      <w:r>
        <w:t xml:space="preserve"> or 2</w:t>
      </w:r>
      <w:r w:rsidRPr="006D7B99">
        <w:rPr>
          <w:vertAlign w:val="superscript"/>
        </w:rPr>
        <w:t>nd</w:t>
      </w:r>
      <w:r>
        <w:t xml:space="preserve"> for all regions, it is recommended that GameCo look to investing in this style of game.</w:t>
      </w:r>
    </w:p>
    <w:tbl>
      <w:tblPr>
        <w:tblStyle w:val="TableGrid"/>
        <w:tblW w:w="0" w:type="auto"/>
        <w:tblLook w:val="04A0" w:firstRow="1" w:lastRow="0" w:firstColumn="1" w:lastColumn="0" w:noHBand="0" w:noVBand="1"/>
      </w:tblPr>
      <w:tblGrid>
        <w:gridCol w:w="2407"/>
        <w:gridCol w:w="2407"/>
        <w:gridCol w:w="2407"/>
        <w:gridCol w:w="2407"/>
      </w:tblGrid>
      <w:tr w:rsidR="00FF4533" w:rsidRPr="006D7B99" w14:paraId="7CCE2C2F" w14:textId="77777777" w:rsidTr="006D7B99">
        <w:tc>
          <w:tcPr>
            <w:tcW w:w="2407" w:type="dxa"/>
            <w:shd w:val="clear" w:color="auto" w:fill="D9D9D9" w:themeFill="background1" w:themeFillShade="D9"/>
          </w:tcPr>
          <w:p w14:paraId="125D6CF4" w14:textId="787F3AEE" w:rsidR="00FF4533" w:rsidRPr="006D7B99" w:rsidRDefault="00FF4533" w:rsidP="00FF4533">
            <w:pPr>
              <w:spacing w:before="0" w:after="0" w:line="276" w:lineRule="auto"/>
              <w:rPr>
                <w:b/>
                <w:bCs/>
                <w:sz w:val="20"/>
                <w:szCs w:val="20"/>
              </w:rPr>
            </w:pPr>
            <w:r w:rsidRPr="006D7B99">
              <w:rPr>
                <w:b/>
                <w:bCs/>
                <w:sz w:val="20"/>
                <w:szCs w:val="20"/>
              </w:rPr>
              <w:t>Region</w:t>
            </w:r>
          </w:p>
        </w:tc>
        <w:tc>
          <w:tcPr>
            <w:tcW w:w="2407" w:type="dxa"/>
            <w:shd w:val="clear" w:color="auto" w:fill="D9D9D9" w:themeFill="background1" w:themeFillShade="D9"/>
          </w:tcPr>
          <w:p w14:paraId="2529801E" w14:textId="0E00A7EA" w:rsidR="00FF4533" w:rsidRPr="006D7B99" w:rsidRDefault="00FF4533" w:rsidP="00FF4533">
            <w:pPr>
              <w:spacing w:before="0" w:after="0" w:line="276" w:lineRule="auto"/>
              <w:rPr>
                <w:b/>
                <w:bCs/>
                <w:sz w:val="20"/>
                <w:szCs w:val="20"/>
              </w:rPr>
            </w:pPr>
            <w:r w:rsidRPr="006D7B99">
              <w:rPr>
                <w:b/>
                <w:bCs/>
                <w:sz w:val="20"/>
                <w:szCs w:val="20"/>
              </w:rPr>
              <w:t>Budget Allocation</w:t>
            </w:r>
          </w:p>
        </w:tc>
        <w:tc>
          <w:tcPr>
            <w:tcW w:w="2407" w:type="dxa"/>
            <w:shd w:val="clear" w:color="auto" w:fill="D9D9D9" w:themeFill="background1" w:themeFillShade="D9"/>
          </w:tcPr>
          <w:p w14:paraId="4424D092" w14:textId="0D10A7ED" w:rsidR="00FF4533" w:rsidRPr="006D7B99" w:rsidRDefault="00FF4533" w:rsidP="00FF4533">
            <w:pPr>
              <w:spacing w:before="0" w:after="0" w:line="276" w:lineRule="auto"/>
              <w:rPr>
                <w:b/>
                <w:bCs/>
                <w:sz w:val="20"/>
                <w:szCs w:val="20"/>
              </w:rPr>
            </w:pPr>
            <w:r w:rsidRPr="006D7B99">
              <w:rPr>
                <w:b/>
                <w:bCs/>
                <w:sz w:val="20"/>
                <w:szCs w:val="20"/>
              </w:rPr>
              <w:t>1</w:t>
            </w:r>
            <w:r w:rsidRPr="006D7B99">
              <w:rPr>
                <w:b/>
                <w:bCs/>
                <w:sz w:val="20"/>
                <w:szCs w:val="20"/>
                <w:vertAlign w:val="superscript"/>
              </w:rPr>
              <w:t>st</w:t>
            </w:r>
            <w:r w:rsidRPr="006D7B99">
              <w:rPr>
                <w:b/>
                <w:bCs/>
                <w:sz w:val="20"/>
                <w:szCs w:val="20"/>
              </w:rPr>
              <w:t xml:space="preserve"> Most Popular Genre</w:t>
            </w:r>
          </w:p>
        </w:tc>
        <w:tc>
          <w:tcPr>
            <w:tcW w:w="2407" w:type="dxa"/>
            <w:shd w:val="clear" w:color="auto" w:fill="D9D9D9" w:themeFill="background1" w:themeFillShade="D9"/>
          </w:tcPr>
          <w:p w14:paraId="53624A6D" w14:textId="3493CFBF" w:rsidR="00FF4533" w:rsidRPr="006D7B99" w:rsidRDefault="00FF4533" w:rsidP="00FF4533">
            <w:pPr>
              <w:spacing w:before="0" w:after="0" w:line="276" w:lineRule="auto"/>
              <w:rPr>
                <w:b/>
                <w:bCs/>
                <w:sz w:val="20"/>
                <w:szCs w:val="20"/>
              </w:rPr>
            </w:pPr>
            <w:r w:rsidRPr="006D7B99">
              <w:rPr>
                <w:b/>
                <w:bCs/>
                <w:sz w:val="20"/>
                <w:szCs w:val="20"/>
              </w:rPr>
              <w:t>2</w:t>
            </w:r>
            <w:r w:rsidRPr="006D7B99">
              <w:rPr>
                <w:b/>
                <w:bCs/>
                <w:sz w:val="20"/>
                <w:szCs w:val="20"/>
                <w:vertAlign w:val="superscript"/>
              </w:rPr>
              <w:t>nd</w:t>
            </w:r>
            <w:r w:rsidRPr="006D7B99">
              <w:rPr>
                <w:b/>
                <w:bCs/>
                <w:sz w:val="20"/>
                <w:szCs w:val="20"/>
              </w:rPr>
              <w:t xml:space="preserve"> Most Popular Genre</w:t>
            </w:r>
          </w:p>
        </w:tc>
      </w:tr>
      <w:tr w:rsidR="00FF4533" w:rsidRPr="006D7B99" w14:paraId="00FDB751" w14:textId="77777777" w:rsidTr="00FF4533">
        <w:tc>
          <w:tcPr>
            <w:tcW w:w="2407" w:type="dxa"/>
          </w:tcPr>
          <w:p w14:paraId="0C81F932" w14:textId="0AC90506" w:rsidR="00FF4533" w:rsidRPr="006D7B99" w:rsidRDefault="00FF4533" w:rsidP="00FF4533">
            <w:pPr>
              <w:spacing w:before="0" w:after="0" w:line="276" w:lineRule="auto"/>
              <w:rPr>
                <w:sz w:val="20"/>
                <w:szCs w:val="20"/>
              </w:rPr>
            </w:pPr>
            <w:r w:rsidRPr="006D7B99">
              <w:rPr>
                <w:sz w:val="20"/>
                <w:szCs w:val="20"/>
              </w:rPr>
              <w:t>Europe</w:t>
            </w:r>
          </w:p>
        </w:tc>
        <w:tc>
          <w:tcPr>
            <w:tcW w:w="2407" w:type="dxa"/>
          </w:tcPr>
          <w:p w14:paraId="714198DA" w14:textId="3687FB9C" w:rsidR="00FF4533" w:rsidRPr="006D7B99" w:rsidRDefault="00FF4533" w:rsidP="00FF4533">
            <w:pPr>
              <w:spacing w:before="0" w:after="0" w:line="276" w:lineRule="auto"/>
              <w:rPr>
                <w:sz w:val="20"/>
                <w:szCs w:val="20"/>
              </w:rPr>
            </w:pPr>
            <w:r w:rsidRPr="006D7B99">
              <w:rPr>
                <w:sz w:val="20"/>
                <w:szCs w:val="20"/>
              </w:rPr>
              <w:t>40</w:t>
            </w:r>
            <w:r w:rsidR="006D7B99" w:rsidRPr="006D7B99">
              <w:rPr>
                <w:sz w:val="20"/>
                <w:szCs w:val="20"/>
              </w:rPr>
              <w:t>%</w:t>
            </w:r>
          </w:p>
        </w:tc>
        <w:tc>
          <w:tcPr>
            <w:tcW w:w="2407" w:type="dxa"/>
          </w:tcPr>
          <w:p w14:paraId="7C91CB0B" w14:textId="1BD72FC9" w:rsidR="00FF4533" w:rsidRPr="006D7B99" w:rsidRDefault="006D7B99" w:rsidP="00FF4533">
            <w:pPr>
              <w:spacing w:before="0" w:after="0" w:line="276" w:lineRule="auto"/>
              <w:rPr>
                <w:sz w:val="20"/>
                <w:szCs w:val="20"/>
              </w:rPr>
            </w:pPr>
            <w:r w:rsidRPr="006D7B99">
              <w:rPr>
                <w:sz w:val="20"/>
                <w:szCs w:val="20"/>
              </w:rPr>
              <w:t>Action</w:t>
            </w:r>
          </w:p>
        </w:tc>
        <w:tc>
          <w:tcPr>
            <w:tcW w:w="2407" w:type="dxa"/>
          </w:tcPr>
          <w:p w14:paraId="00275BE9" w14:textId="14693D79" w:rsidR="00FF4533" w:rsidRPr="006D7B99" w:rsidRDefault="006D7B99" w:rsidP="00FF4533">
            <w:pPr>
              <w:spacing w:before="0" w:after="0" w:line="276" w:lineRule="auto"/>
              <w:rPr>
                <w:sz w:val="20"/>
                <w:szCs w:val="20"/>
              </w:rPr>
            </w:pPr>
            <w:r w:rsidRPr="006D7B99">
              <w:rPr>
                <w:sz w:val="20"/>
                <w:szCs w:val="20"/>
              </w:rPr>
              <w:t>Shooter</w:t>
            </w:r>
          </w:p>
        </w:tc>
      </w:tr>
      <w:tr w:rsidR="00FF4533" w:rsidRPr="006D7B99" w14:paraId="6CAF798B" w14:textId="77777777" w:rsidTr="00FF4533">
        <w:tc>
          <w:tcPr>
            <w:tcW w:w="2407" w:type="dxa"/>
          </w:tcPr>
          <w:p w14:paraId="206E3E59" w14:textId="1D036053" w:rsidR="00FF4533" w:rsidRPr="006D7B99" w:rsidRDefault="00FF4533" w:rsidP="00FF4533">
            <w:pPr>
              <w:spacing w:before="0" w:after="0" w:line="276" w:lineRule="auto"/>
              <w:rPr>
                <w:sz w:val="20"/>
                <w:szCs w:val="20"/>
              </w:rPr>
            </w:pPr>
            <w:r w:rsidRPr="006D7B99">
              <w:rPr>
                <w:sz w:val="20"/>
                <w:szCs w:val="20"/>
              </w:rPr>
              <w:t>North America</w:t>
            </w:r>
          </w:p>
        </w:tc>
        <w:tc>
          <w:tcPr>
            <w:tcW w:w="2407" w:type="dxa"/>
          </w:tcPr>
          <w:p w14:paraId="405AACB8" w14:textId="43BDE3F7" w:rsidR="00FF4533" w:rsidRPr="006D7B99" w:rsidRDefault="006D7B99" w:rsidP="00FF4533">
            <w:pPr>
              <w:spacing w:before="0" w:after="0" w:line="276" w:lineRule="auto"/>
              <w:rPr>
                <w:sz w:val="20"/>
                <w:szCs w:val="20"/>
              </w:rPr>
            </w:pPr>
            <w:r w:rsidRPr="006D7B99">
              <w:rPr>
                <w:sz w:val="20"/>
                <w:szCs w:val="20"/>
              </w:rPr>
              <w:t>30%</w:t>
            </w:r>
          </w:p>
        </w:tc>
        <w:tc>
          <w:tcPr>
            <w:tcW w:w="2407" w:type="dxa"/>
          </w:tcPr>
          <w:p w14:paraId="71A0D978" w14:textId="0C423589" w:rsidR="00FF4533" w:rsidRPr="006D7B99" w:rsidRDefault="006D7B99" w:rsidP="00FF4533">
            <w:pPr>
              <w:spacing w:before="0" w:after="0" w:line="276" w:lineRule="auto"/>
              <w:rPr>
                <w:sz w:val="20"/>
                <w:szCs w:val="20"/>
              </w:rPr>
            </w:pPr>
            <w:r w:rsidRPr="006D7B99">
              <w:rPr>
                <w:sz w:val="20"/>
                <w:szCs w:val="20"/>
              </w:rPr>
              <w:t>Action</w:t>
            </w:r>
          </w:p>
        </w:tc>
        <w:tc>
          <w:tcPr>
            <w:tcW w:w="2407" w:type="dxa"/>
          </w:tcPr>
          <w:p w14:paraId="42C3CD80" w14:textId="2D0BDEEA" w:rsidR="00FF4533" w:rsidRPr="006D7B99" w:rsidRDefault="006D7B99" w:rsidP="00FF4533">
            <w:pPr>
              <w:spacing w:before="0" w:after="0" w:line="276" w:lineRule="auto"/>
              <w:rPr>
                <w:sz w:val="20"/>
                <w:szCs w:val="20"/>
              </w:rPr>
            </w:pPr>
            <w:r w:rsidRPr="006D7B99">
              <w:rPr>
                <w:sz w:val="20"/>
                <w:szCs w:val="20"/>
              </w:rPr>
              <w:t>Shooter</w:t>
            </w:r>
          </w:p>
        </w:tc>
      </w:tr>
      <w:tr w:rsidR="00FF4533" w:rsidRPr="006D7B99" w14:paraId="7C0208AE" w14:textId="77777777" w:rsidTr="00FF4533">
        <w:tc>
          <w:tcPr>
            <w:tcW w:w="2407" w:type="dxa"/>
          </w:tcPr>
          <w:p w14:paraId="22D6C5BB" w14:textId="3BCFE440" w:rsidR="00FF4533" w:rsidRPr="006D7B99" w:rsidRDefault="00FF4533" w:rsidP="00FF4533">
            <w:pPr>
              <w:spacing w:before="0" w:after="0" w:line="276" w:lineRule="auto"/>
              <w:rPr>
                <w:sz w:val="20"/>
                <w:szCs w:val="20"/>
              </w:rPr>
            </w:pPr>
            <w:r w:rsidRPr="006D7B99">
              <w:rPr>
                <w:sz w:val="20"/>
                <w:szCs w:val="20"/>
              </w:rPr>
              <w:t>Japan</w:t>
            </w:r>
          </w:p>
        </w:tc>
        <w:tc>
          <w:tcPr>
            <w:tcW w:w="2407" w:type="dxa"/>
          </w:tcPr>
          <w:p w14:paraId="246C50B5" w14:textId="441FA9B6" w:rsidR="00FF4533" w:rsidRPr="006D7B99" w:rsidRDefault="006D7B99" w:rsidP="00FF4533">
            <w:pPr>
              <w:spacing w:before="0" w:after="0" w:line="276" w:lineRule="auto"/>
              <w:rPr>
                <w:sz w:val="20"/>
                <w:szCs w:val="20"/>
              </w:rPr>
            </w:pPr>
            <w:r w:rsidRPr="006D7B99">
              <w:rPr>
                <w:sz w:val="20"/>
                <w:szCs w:val="20"/>
              </w:rPr>
              <w:t>20%</w:t>
            </w:r>
          </w:p>
        </w:tc>
        <w:tc>
          <w:tcPr>
            <w:tcW w:w="2407" w:type="dxa"/>
          </w:tcPr>
          <w:p w14:paraId="6A60E4F3" w14:textId="1E76107F" w:rsidR="00FF4533" w:rsidRPr="006D7B99" w:rsidRDefault="006D7B99" w:rsidP="00FF4533">
            <w:pPr>
              <w:spacing w:before="0" w:after="0" w:line="276" w:lineRule="auto"/>
              <w:rPr>
                <w:sz w:val="20"/>
                <w:szCs w:val="20"/>
              </w:rPr>
            </w:pPr>
            <w:r w:rsidRPr="006D7B99">
              <w:rPr>
                <w:sz w:val="20"/>
                <w:szCs w:val="20"/>
              </w:rPr>
              <w:t>Role-Playing</w:t>
            </w:r>
          </w:p>
        </w:tc>
        <w:tc>
          <w:tcPr>
            <w:tcW w:w="2407" w:type="dxa"/>
          </w:tcPr>
          <w:p w14:paraId="223C3D22" w14:textId="02D25227" w:rsidR="00FF4533" w:rsidRPr="006D7B99" w:rsidRDefault="006D7B99" w:rsidP="00FF4533">
            <w:pPr>
              <w:spacing w:before="0" w:after="0" w:line="276" w:lineRule="auto"/>
              <w:rPr>
                <w:sz w:val="20"/>
                <w:szCs w:val="20"/>
              </w:rPr>
            </w:pPr>
            <w:r w:rsidRPr="006D7B99">
              <w:rPr>
                <w:sz w:val="20"/>
                <w:szCs w:val="20"/>
              </w:rPr>
              <w:t>Action</w:t>
            </w:r>
          </w:p>
        </w:tc>
      </w:tr>
      <w:tr w:rsidR="00FF4533" w:rsidRPr="006D7B99" w14:paraId="3A7D49B9" w14:textId="77777777" w:rsidTr="00FF4533">
        <w:tc>
          <w:tcPr>
            <w:tcW w:w="2407" w:type="dxa"/>
          </w:tcPr>
          <w:p w14:paraId="7513F86A" w14:textId="1B143DA5" w:rsidR="00FF4533" w:rsidRPr="006D7B99" w:rsidRDefault="00FF4533" w:rsidP="00FF4533">
            <w:pPr>
              <w:spacing w:before="0" w:after="0" w:line="276" w:lineRule="auto"/>
              <w:rPr>
                <w:sz w:val="20"/>
                <w:szCs w:val="20"/>
              </w:rPr>
            </w:pPr>
            <w:r w:rsidRPr="006D7B99">
              <w:rPr>
                <w:sz w:val="20"/>
                <w:szCs w:val="20"/>
              </w:rPr>
              <w:t>Other Regions</w:t>
            </w:r>
          </w:p>
        </w:tc>
        <w:tc>
          <w:tcPr>
            <w:tcW w:w="2407" w:type="dxa"/>
          </w:tcPr>
          <w:p w14:paraId="1A2DE86E" w14:textId="26A05236" w:rsidR="00FF4533" w:rsidRPr="006D7B99" w:rsidRDefault="006D7B99" w:rsidP="00FF4533">
            <w:pPr>
              <w:spacing w:before="0" w:after="0" w:line="276" w:lineRule="auto"/>
              <w:rPr>
                <w:sz w:val="20"/>
                <w:szCs w:val="20"/>
              </w:rPr>
            </w:pPr>
            <w:r w:rsidRPr="006D7B99">
              <w:rPr>
                <w:sz w:val="20"/>
                <w:szCs w:val="20"/>
              </w:rPr>
              <w:t>10%</w:t>
            </w:r>
          </w:p>
        </w:tc>
        <w:tc>
          <w:tcPr>
            <w:tcW w:w="2407" w:type="dxa"/>
          </w:tcPr>
          <w:p w14:paraId="6E3A896B" w14:textId="412A20BA" w:rsidR="00FF4533" w:rsidRPr="006D7B99" w:rsidRDefault="006D7B99" w:rsidP="00FF4533">
            <w:pPr>
              <w:spacing w:before="0" w:after="0" w:line="276" w:lineRule="auto"/>
              <w:rPr>
                <w:sz w:val="20"/>
                <w:szCs w:val="20"/>
              </w:rPr>
            </w:pPr>
            <w:r w:rsidRPr="006D7B99">
              <w:rPr>
                <w:sz w:val="20"/>
                <w:szCs w:val="20"/>
              </w:rPr>
              <w:t>Action</w:t>
            </w:r>
          </w:p>
        </w:tc>
        <w:tc>
          <w:tcPr>
            <w:tcW w:w="2407" w:type="dxa"/>
          </w:tcPr>
          <w:p w14:paraId="56B6B652" w14:textId="741073D7" w:rsidR="00FF4533" w:rsidRPr="006D7B99" w:rsidRDefault="006D7B99" w:rsidP="00FF4533">
            <w:pPr>
              <w:spacing w:before="0" w:after="0" w:line="276" w:lineRule="auto"/>
              <w:rPr>
                <w:sz w:val="20"/>
                <w:szCs w:val="20"/>
              </w:rPr>
            </w:pPr>
            <w:r w:rsidRPr="006D7B99">
              <w:rPr>
                <w:sz w:val="20"/>
                <w:szCs w:val="20"/>
              </w:rPr>
              <w:t>Shooter</w:t>
            </w:r>
          </w:p>
        </w:tc>
      </w:tr>
    </w:tbl>
    <w:p w14:paraId="35748FF3" w14:textId="73F409DD" w:rsidR="00EA4776" w:rsidRDefault="00EA4776" w:rsidP="00A53C91"/>
    <w:p w14:paraId="742B4ECE" w14:textId="77777777" w:rsidR="00A53C91" w:rsidRPr="00324289" w:rsidRDefault="00A53C91" w:rsidP="00A53C91"/>
    <w:p w14:paraId="6AA1CC02" w14:textId="2513873A" w:rsidR="005D1127" w:rsidRDefault="005D1127" w:rsidP="005D1127">
      <w:pPr>
        <w:pStyle w:val="Heading2"/>
      </w:pPr>
      <w:r>
        <w:t>Further Information – Video Game Publisher</w:t>
      </w:r>
    </w:p>
    <w:p w14:paraId="0BD28D33" w14:textId="3209235D" w:rsidR="0055211F" w:rsidRDefault="0055211F" w:rsidP="0055211F">
      <w:pPr>
        <w:rPr>
          <w:rFonts w:asciiTheme="minorHAnsi" w:hAnsiTheme="minorHAnsi" w:cstheme="minorHAnsi"/>
          <w:color w:val="000000" w:themeColor="text1"/>
        </w:rPr>
      </w:pPr>
      <w:r>
        <w:rPr>
          <w:rFonts w:asciiTheme="minorHAnsi" w:hAnsiTheme="minorHAnsi" w:cstheme="minorHAnsi"/>
          <w:color w:val="000000" w:themeColor="text1"/>
        </w:rPr>
        <w:t>There are hundreds of publishers</w:t>
      </w:r>
      <w:r w:rsidR="0008156F">
        <w:rPr>
          <w:rFonts w:asciiTheme="minorHAnsi" w:hAnsiTheme="minorHAnsi" w:cstheme="minorHAnsi"/>
          <w:color w:val="000000" w:themeColor="text1"/>
        </w:rPr>
        <w:t xml:space="preserve"> on the marke</w:t>
      </w:r>
      <w:r w:rsidR="00581C80">
        <w:rPr>
          <w:rFonts w:asciiTheme="minorHAnsi" w:hAnsiTheme="minorHAnsi" w:cstheme="minorHAnsi"/>
          <w:color w:val="000000" w:themeColor="text1"/>
        </w:rPr>
        <w:t>t</w:t>
      </w:r>
      <w:r>
        <w:rPr>
          <w:rFonts w:asciiTheme="minorHAnsi" w:hAnsiTheme="minorHAnsi" w:cstheme="minorHAnsi"/>
          <w:color w:val="000000" w:themeColor="text1"/>
        </w:rPr>
        <w:t xml:space="preserve">, many of which are barely make a dent in any of the regional markets.  Figure 7 </w:t>
      </w:r>
      <w:r w:rsidR="003F04C1">
        <w:rPr>
          <w:rFonts w:asciiTheme="minorHAnsi" w:hAnsiTheme="minorHAnsi" w:cstheme="minorHAnsi"/>
          <w:color w:val="000000" w:themeColor="text1"/>
        </w:rPr>
        <w:t xml:space="preserve">however </w:t>
      </w:r>
      <w:r>
        <w:rPr>
          <w:rFonts w:asciiTheme="minorHAnsi" w:hAnsiTheme="minorHAnsi" w:cstheme="minorHAnsi"/>
          <w:color w:val="000000" w:themeColor="text1"/>
        </w:rPr>
        <w:t xml:space="preserve">shows the Publishers that perform in the Top Ten amongst the various regions, </w:t>
      </w:r>
      <w:r w:rsidR="008C11EC">
        <w:rPr>
          <w:rFonts w:asciiTheme="minorHAnsi" w:hAnsiTheme="minorHAnsi" w:cstheme="minorHAnsi"/>
          <w:color w:val="000000" w:themeColor="text1"/>
        </w:rPr>
        <w:t>a</w:t>
      </w:r>
      <w:r>
        <w:rPr>
          <w:rFonts w:asciiTheme="minorHAnsi" w:hAnsiTheme="minorHAnsi" w:cstheme="minorHAnsi"/>
          <w:color w:val="000000" w:themeColor="text1"/>
        </w:rPr>
        <w:t>mounting to 17 publishers globally.</w:t>
      </w:r>
    </w:p>
    <w:p w14:paraId="52B5FE4C" w14:textId="6171EEBA" w:rsidR="005C5BAB" w:rsidRDefault="002D55D7" w:rsidP="005D1127">
      <w:r>
        <w:rPr>
          <w:noProof/>
        </w:rPr>
        <mc:AlternateContent>
          <mc:Choice Requires="wps">
            <w:drawing>
              <wp:anchor distT="0" distB="0" distL="114300" distR="114300" simplePos="0" relativeHeight="251667456" behindDoc="0" locked="0" layoutInCell="1" allowOverlap="1" wp14:anchorId="0D9D59ED" wp14:editId="32B9BE61">
                <wp:simplePos x="0" y="0"/>
                <wp:positionH relativeFrom="column">
                  <wp:posOffset>2263140</wp:posOffset>
                </wp:positionH>
                <wp:positionV relativeFrom="paragraph">
                  <wp:posOffset>3286760</wp:posOffset>
                </wp:positionV>
                <wp:extent cx="1691640" cy="2971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1691640" cy="297180"/>
                        </a:xfrm>
                        <a:prstGeom prst="rect">
                          <a:avLst/>
                        </a:prstGeom>
                        <a:noFill/>
                        <a:ln w="6350">
                          <a:noFill/>
                        </a:ln>
                      </wps:spPr>
                      <wps:txbx>
                        <w:txbxContent>
                          <w:p w14:paraId="1D0F69F2" w14:textId="37732AB4" w:rsidR="002D55D7" w:rsidRPr="008E5327" w:rsidRDefault="002D55D7" w:rsidP="002D55D7">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9D59ED" id="Text Box 16" o:spid="_x0000_s1032" type="#_x0000_t202" style="position:absolute;margin-left:178.2pt;margin-top:258.8pt;width:133.2pt;height:2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" filled="f" stroked="f" strokeweight=".5pt">
                <v:textbox>
                  <w:txbxContent>
                    <w:p w14:paraId="1D0F69F2" w14:textId="37732AB4" w:rsidR="002D55D7" w:rsidRPr="008E5327" w:rsidRDefault="002D55D7" w:rsidP="002D55D7">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7</w:t>
                      </w:r>
                    </w:p>
                  </w:txbxContent>
                </v:textbox>
              </v:shape>
            </w:pict>
          </mc:Fallback>
        </mc:AlternateContent>
      </w:r>
      <w:r w:rsidR="004A2332">
        <w:rPr>
          <w:noProof/>
        </w:rPr>
        <w:drawing>
          <wp:inline distT="0" distB="0" distL="0" distR="0" wp14:anchorId="16DDCF52" wp14:editId="352C35F9">
            <wp:extent cx="6120130" cy="3307080"/>
            <wp:effectExtent l="0" t="0" r="13970" b="7620"/>
            <wp:docPr id="15" name="Chart 15">
              <a:extLst xmlns:a="http://schemas.openxmlformats.org/drawingml/2006/main">
                <a:ext uri="{FF2B5EF4-FFF2-40B4-BE49-F238E27FC236}">
                  <a16:creationId xmlns:a16="http://schemas.microsoft.com/office/drawing/2014/main" id="{35663C87-8ED2-4606-8E0C-06D1DF1CB8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1C1236" w14:textId="765B6204" w:rsidR="00B17CAA" w:rsidRDefault="00B17CAA" w:rsidP="002D55D7">
      <w:pPr>
        <w:jc w:val="center"/>
        <w:rPr>
          <w:rFonts w:asciiTheme="minorHAnsi" w:hAnsiTheme="minorHAnsi" w:cstheme="minorHAnsi"/>
          <w:color w:val="000000" w:themeColor="text1"/>
        </w:rPr>
      </w:pPr>
    </w:p>
    <w:p w14:paraId="5BE8FF5A" w14:textId="77777777" w:rsidR="00A7583F" w:rsidRDefault="00A7583F" w:rsidP="00A7583F"/>
    <w:p w14:paraId="2B722047" w14:textId="1F355420" w:rsidR="003A0022" w:rsidRDefault="003A0022" w:rsidP="003A0022">
      <w:pPr>
        <w:pStyle w:val="Heading2"/>
      </w:pPr>
      <w:r>
        <w:t>Video Game Publisher Recommendation</w:t>
      </w:r>
    </w:p>
    <w:p w14:paraId="2ACC311C" w14:textId="6CE7C17C" w:rsidR="0008156F" w:rsidRDefault="0008156F" w:rsidP="0008156F">
      <w:pPr>
        <w:rPr>
          <w:rFonts w:asciiTheme="minorHAnsi" w:hAnsiTheme="minorHAnsi" w:cstheme="minorHAnsi"/>
          <w:color w:val="000000" w:themeColor="text1"/>
        </w:rPr>
      </w:pPr>
      <w:r>
        <w:rPr>
          <w:rFonts w:asciiTheme="minorHAnsi" w:hAnsiTheme="minorHAnsi" w:cstheme="minorHAnsi"/>
          <w:color w:val="000000" w:themeColor="text1"/>
        </w:rPr>
        <w:t xml:space="preserve">A review of how some of these top publishers performed over recent years shows the same downward trend, and for that reason I would recommend that GameCo look to investing in other markets such as gaming-as-a-service, and consider what their competitors are doing in these markets as opposed to </w:t>
      </w:r>
      <w:r w:rsidR="00581C80">
        <w:rPr>
          <w:rFonts w:asciiTheme="minorHAnsi" w:hAnsiTheme="minorHAnsi" w:cstheme="minorHAnsi"/>
          <w:color w:val="000000" w:themeColor="text1"/>
        </w:rPr>
        <w:t>looking at a</w:t>
      </w:r>
      <w:r>
        <w:rPr>
          <w:rFonts w:asciiTheme="minorHAnsi" w:hAnsiTheme="minorHAnsi" w:cstheme="minorHAnsi"/>
          <w:color w:val="000000" w:themeColor="text1"/>
        </w:rPr>
        <w:t xml:space="preserve"> market which is dying.</w:t>
      </w:r>
    </w:p>
    <w:p w14:paraId="1FB44D7C" w14:textId="77777777" w:rsidR="0055211F" w:rsidRDefault="0055211F">
      <w:pPr>
        <w:spacing w:before="0" w:after="200"/>
        <w:rPr>
          <w:rFonts w:asciiTheme="minorHAnsi" w:hAnsiTheme="minorHAnsi" w:cstheme="minorBidi"/>
          <w:b/>
          <w:sz w:val="24"/>
        </w:rPr>
      </w:pPr>
      <w:r>
        <w:br w:type="page"/>
      </w:r>
    </w:p>
    <w:p w14:paraId="45ED0D2D" w14:textId="21EF72F8" w:rsidR="00B17CAA" w:rsidRDefault="008D37A7" w:rsidP="00B17CAA">
      <w:pPr>
        <w:pStyle w:val="Heading2"/>
      </w:pPr>
      <w:r>
        <w:t>Summary</w:t>
      </w:r>
    </w:p>
    <w:p w14:paraId="3CFDA80A" w14:textId="1923882F" w:rsidR="008D37A7" w:rsidRDefault="008D37A7" w:rsidP="008D37A7">
      <w:r>
        <w:t>GameCo’s initially understand</w:t>
      </w:r>
      <w:r w:rsidR="00D527A0">
        <w:t>ing</w:t>
      </w:r>
      <w:r>
        <w:t xml:space="preserve"> of regional markets was that sales had generally stayed the same.  However, an analysis of the sales figures</w:t>
      </w:r>
      <w:r w:rsidR="00282536">
        <w:t xml:space="preserve"> provided by VGChartz showed </w:t>
      </w:r>
      <w:r>
        <w:t>fluctuation</w:t>
      </w:r>
      <w:r w:rsidR="0066077B">
        <w:t>s</w:t>
      </w:r>
      <w:r>
        <w:t xml:space="preserve"> </w:t>
      </w:r>
      <w:r w:rsidR="00413B57">
        <w:t xml:space="preserve">in sales </w:t>
      </w:r>
      <w:r>
        <w:t xml:space="preserve">across all regions, </w:t>
      </w:r>
      <w:r w:rsidR="00282536">
        <w:t>followed by a downward trend from 2008</w:t>
      </w:r>
      <w:r w:rsidR="0066077B">
        <w:t xml:space="preserve"> for all regions</w:t>
      </w:r>
      <w:r w:rsidR="00282536">
        <w:t>.</w:t>
      </w:r>
      <w:r>
        <w:t xml:space="preserve">  The analysis also revealed that where North America was the strongest region, </w:t>
      </w:r>
      <w:r w:rsidR="00282536">
        <w:t xml:space="preserve">contributing the most to global sales, </w:t>
      </w:r>
      <w:r>
        <w:t>Europe is</w:t>
      </w:r>
      <w:r w:rsidR="00282536">
        <w:t xml:space="preserve"> now</w:t>
      </w:r>
      <w:r>
        <w:t xml:space="preserve"> looking </w:t>
      </w:r>
      <w:r w:rsidR="00282536">
        <w:t xml:space="preserve">to be </w:t>
      </w:r>
      <w:r>
        <w:t>more prominent.</w:t>
      </w:r>
    </w:p>
    <w:p w14:paraId="0BA98F6A" w14:textId="032C395C" w:rsidR="00EA5D41" w:rsidRDefault="00EA5D41" w:rsidP="008D37A7">
      <w:r>
        <w:t>The following recommendation</w:t>
      </w:r>
      <w:r w:rsidR="0066077B">
        <w:t>s</w:t>
      </w:r>
      <w:r>
        <w:t xml:space="preserve"> have been suggested:</w:t>
      </w:r>
    </w:p>
    <w:p w14:paraId="528C01AD" w14:textId="0CE63179" w:rsidR="00EA5D41" w:rsidRDefault="00EA5D41" w:rsidP="00EA5D41">
      <w:pPr>
        <w:pStyle w:val="ListParagraph"/>
        <w:numPr>
          <w:ilvl w:val="0"/>
          <w:numId w:val="27"/>
        </w:numPr>
      </w:pPr>
      <w:r>
        <w:t xml:space="preserve">Allocate </w:t>
      </w:r>
      <w:r w:rsidR="00F00170">
        <w:t>GameCo’s</w:t>
      </w:r>
      <w:r>
        <w:t xml:space="preserve"> budget for 2017 as follows:</w:t>
      </w:r>
    </w:p>
    <w:p w14:paraId="1EF32C1D" w14:textId="6E6445EA" w:rsidR="00EA5D41" w:rsidRDefault="00EA5D41" w:rsidP="003A34EB">
      <w:pPr>
        <w:pStyle w:val="ListParagraph"/>
        <w:numPr>
          <w:ilvl w:val="1"/>
          <w:numId w:val="29"/>
        </w:numPr>
      </w:pPr>
      <w:r>
        <w:t>Europe</w:t>
      </w:r>
      <w:r>
        <w:tab/>
      </w:r>
      <w:r>
        <w:tab/>
        <w:t>40%</w:t>
      </w:r>
    </w:p>
    <w:p w14:paraId="5905EB6D" w14:textId="6717FD6D" w:rsidR="00EA5D41" w:rsidRDefault="00EA5D41" w:rsidP="003A34EB">
      <w:pPr>
        <w:pStyle w:val="ListParagraph"/>
        <w:numPr>
          <w:ilvl w:val="1"/>
          <w:numId w:val="29"/>
        </w:numPr>
      </w:pPr>
      <w:r>
        <w:t>North America</w:t>
      </w:r>
      <w:r>
        <w:tab/>
        <w:t>30%</w:t>
      </w:r>
    </w:p>
    <w:p w14:paraId="1E622687" w14:textId="5A88632F" w:rsidR="00EA5D41" w:rsidRDefault="00EA5D41" w:rsidP="003A34EB">
      <w:pPr>
        <w:pStyle w:val="ListParagraph"/>
        <w:numPr>
          <w:ilvl w:val="1"/>
          <w:numId w:val="29"/>
        </w:numPr>
      </w:pPr>
      <w:r>
        <w:t>Japan</w:t>
      </w:r>
      <w:r>
        <w:tab/>
      </w:r>
      <w:r>
        <w:tab/>
        <w:t>20%</w:t>
      </w:r>
    </w:p>
    <w:p w14:paraId="3D51E61B" w14:textId="087D61A5" w:rsidR="00EA5D41" w:rsidRDefault="00EA5D41" w:rsidP="00F00170">
      <w:pPr>
        <w:pStyle w:val="ListParagraph"/>
        <w:numPr>
          <w:ilvl w:val="1"/>
          <w:numId w:val="29"/>
        </w:numPr>
        <w:ind w:left="1434" w:hanging="357"/>
        <w:contextualSpacing w:val="0"/>
      </w:pPr>
      <w:r>
        <w:t>Other Regions</w:t>
      </w:r>
      <w:r>
        <w:tab/>
        <w:t>10%</w:t>
      </w:r>
    </w:p>
    <w:p w14:paraId="3215E192" w14:textId="6D60EB2F" w:rsidR="00EA5D41" w:rsidRDefault="00EA5D41" w:rsidP="00F00170">
      <w:pPr>
        <w:pStyle w:val="ListParagraph"/>
        <w:numPr>
          <w:ilvl w:val="0"/>
          <w:numId w:val="27"/>
        </w:numPr>
        <w:ind w:left="714" w:hanging="357"/>
        <w:contextualSpacing w:val="0"/>
      </w:pPr>
      <w:r>
        <w:t>Pull resources into developing Action games to cater for all regions.</w:t>
      </w:r>
    </w:p>
    <w:p w14:paraId="3A2B5094" w14:textId="02CD1F6A" w:rsidR="00EA5D41" w:rsidRPr="008D37A7" w:rsidRDefault="00282536" w:rsidP="00EA5D41">
      <w:pPr>
        <w:pStyle w:val="ListParagraph"/>
        <w:numPr>
          <w:ilvl w:val="0"/>
          <w:numId w:val="27"/>
        </w:numPr>
      </w:pPr>
      <w:r>
        <w:t>Look to other markets for improving revenue</w:t>
      </w:r>
      <w:r w:rsidR="00EA5D41">
        <w:t xml:space="preserve"> such as providing gaming</w:t>
      </w:r>
      <w:r>
        <w:t>-</w:t>
      </w:r>
      <w:r w:rsidR="00EA5D41">
        <w:t>as</w:t>
      </w:r>
      <w:r>
        <w:t>-</w:t>
      </w:r>
      <w:r w:rsidR="00EA5D41">
        <w:t>a</w:t>
      </w:r>
      <w:r>
        <w:t>-s</w:t>
      </w:r>
      <w:r w:rsidR="00EA5D41">
        <w:t xml:space="preserve">ervice, and consider </w:t>
      </w:r>
      <w:r>
        <w:t>how competitors</w:t>
      </w:r>
      <w:r w:rsidR="00EA5D41">
        <w:t xml:space="preserve"> </w:t>
      </w:r>
      <w:r>
        <w:t>are performing</w:t>
      </w:r>
      <w:r w:rsidR="00F00170">
        <w:t xml:space="preserve"> in these areas.</w:t>
      </w:r>
    </w:p>
    <w:p w14:paraId="40C44DE4" w14:textId="77777777" w:rsidR="00B17CAA" w:rsidRDefault="00B17CAA" w:rsidP="007B4C9A">
      <w:pPr>
        <w:rPr>
          <w:rFonts w:asciiTheme="minorHAnsi" w:hAnsiTheme="minorHAnsi" w:cstheme="minorHAnsi"/>
          <w:color w:val="000000" w:themeColor="text1"/>
        </w:rPr>
      </w:pPr>
    </w:p>
    <w:p w14:paraId="0D82707C" w14:textId="733FD8A3" w:rsidR="00A53C91" w:rsidRDefault="00A53C91" w:rsidP="007B4C9A">
      <w:pPr>
        <w:rPr>
          <w:rFonts w:asciiTheme="minorHAnsi" w:hAnsiTheme="minorHAnsi" w:cstheme="minorHAnsi"/>
          <w:color w:val="000000" w:themeColor="text1"/>
        </w:rPr>
      </w:pPr>
    </w:p>
    <w:p w14:paraId="7366E018" w14:textId="77777777" w:rsidR="00A53C91" w:rsidRPr="003A4D55" w:rsidRDefault="00A53C91" w:rsidP="007B4C9A">
      <w:pPr>
        <w:rPr>
          <w:rFonts w:asciiTheme="minorHAnsi" w:hAnsiTheme="minorHAnsi" w:cstheme="minorHAnsi"/>
          <w:color w:val="000000" w:themeColor="text1"/>
        </w:rPr>
      </w:pPr>
    </w:p>
    <w:p w14:paraId="6B47C493" w14:textId="77777777" w:rsidR="003A4D55" w:rsidRPr="003A4D55" w:rsidRDefault="003A4D55" w:rsidP="007B4C9A">
      <w:pPr>
        <w:rPr>
          <w:rFonts w:asciiTheme="minorHAnsi" w:hAnsiTheme="minorHAnsi" w:cstheme="minorHAnsi"/>
          <w:color w:val="000000" w:themeColor="text1"/>
        </w:rPr>
      </w:pPr>
    </w:p>
    <w:sectPr w:rsidR="003A4D55" w:rsidRPr="003A4D55" w:rsidSect="00034C36">
      <w:headerReference w:type="default" r:id="rId16"/>
      <w:pgSz w:w="11906" w:h="16838"/>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AD22A" w14:textId="77777777" w:rsidR="00823D73" w:rsidRDefault="00823D73" w:rsidP="00AD74E2">
      <w:r>
        <w:separator/>
      </w:r>
    </w:p>
  </w:endnote>
  <w:endnote w:type="continuationSeparator" w:id="0">
    <w:p w14:paraId="18BE7D29" w14:textId="77777777" w:rsidR="00823D73" w:rsidRDefault="00823D73" w:rsidP="00AD7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45834" w14:textId="77777777" w:rsidR="00823D73" w:rsidRDefault="00823D73" w:rsidP="00AD74E2">
      <w:r>
        <w:separator/>
      </w:r>
    </w:p>
  </w:footnote>
  <w:footnote w:type="continuationSeparator" w:id="0">
    <w:p w14:paraId="2D46CD1F" w14:textId="77777777" w:rsidR="00823D73" w:rsidRDefault="00823D73" w:rsidP="00AD7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7FB3" w14:textId="3F420F7D" w:rsidR="008428E3" w:rsidRPr="00DF409A" w:rsidRDefault="008428E3" w:rsidP="00917C44">
    <w:pPr>
      <w:pStyle w:val="Title"/>
    </w:pPr>
    <w:r w:rsidRPr="00DF409A">
      <w:t>Video Game Sales Analysis</w:t>
    </w:r>
    <w:r w:rsidR="00917C44">
      <w:t xml:space="preserve"> – </w:t>
    </w:r>
    <w:r w:rsidR="005C6FB6" w:rsidRPr="00DF409A">
      <w:t xml:space="preserve">GameCo </w:t>
    </w:r>
    <w:r w:rsidRPr="00DF409A">
      <w:t>Regional Budget Allocation</w:t>
    </w:r>
    <w:r w:rsidR="005C6FB6">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61B5"/>
    <w:multiLevelType w:val="hybridMultilevel"/>
    <w:tmpl w:val="5B9A9318"/>
    <w:lvl w:ilvl="0" w:tplc="0809000F">
      <w:start w:val="1"/>
      <w:numFmt w:val="decimal"/>
      <w:lvlText w:val="%1."/>
      <w:lvlJc w:val="left"/>
      <w:pPr>
        <w:ind w:left="360" w:hanging="360"/>
      </w:pPr>
    </w:lvl>
    <w:lvl w:ilvl="1" w:tplc="4E86D3A6">
      <w:start w:val="1"/>
      <w:numFmt w:val="bullet"/>
      <w:lvlText w:val="-"/>
      <w:lvlJc w:val="left"/>
      <w:pPr>
        <w:ind w:left="1080" w:hanging="360"/>
      </w:pPr>
      <w:rPr>
        <w:rFonts w:ascii="Courier New" w:hAnsi="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D33C47"/>
    <w:multiLevelType w:val="hybridMultilevel"/>
    <w:tmpl w:val="19645FF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804695"/>
    <w:multiLevelType w:val="hybridMultilevel"/>
    <w:tmpl w:val="EC0ADBB8"/>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AAE44F7"/>
    <w:multiLevelType w:val="hybridMultilevel"/>
    <w:tmpl w:val="3B023A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0B20C2D"/>
    <w:multiLevelType w:val="hybridMultilevel"/>
    <w:tmpl w:val="892C019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8377538"/>
    <w:multiLevelType w:val="hybridMultilevel"/>
    <w:tmpl w:val="90A4746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85D2AAD"/>
    <w:multiLevelType w:val="hybridMultilevel"/>
    <w:tmpl w:val="19568156"/>
    <w:lvl w:ilvl="0" w:tplc="D564F86E">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441A8E"/>
    <w:multiLevelType w:val="hybridMultilevel"/>
    <w:tmpl w:val="A748F58C"/>
    <w:lvl w:ilvl="0" w:tplc="2C6A3892">
      <w:start w:val="3"/>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07CB8"/>
    <w:multiLevelType w:val="hybridMultilevel"/>
    <w:tmpl w:val="FFC01F28"/>
    <w:lvl w:ilvl="0" w:tplc="2C6A3892">
      <w:start w:val="3"/>
      <w:numFmt w:val="bullet"/>
      <w:lvlText w:val="-"/>
      <w:lvlJc w:val="left"/>
      <w:pPr>
        <w:ind w:left="720" w:hanging="360"/>
      </w:pPr>
      <w:rPr>
        <w:rFonts w:ascii="Calibri" w:eastAsia="Calibri" w:hAnsi="Calibri" w:cs="Calibri" w:hint="default"/>
      </w:rPr>
    </w:lvl>
    <w:lvl w:ilvl="1" w:tplc="96E2076E">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763825"/>
    <w:multiLevelType w:val="hybridMultilevel"/>
    <w:tmpl w:val="A69082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A811BAB"/>
    <w:multiLevelType w:val="hybridMultilevel"/>
    <w:tmpl w:val="4A786C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D774747"/>
    <w:multiLevelType w:val="hybridMultilevel"/>
    <w:tmpl w:val="1C623672"/>
    <w:lvl w:ilvl="0" w:tplc="172C4DE4">
      <w:start w:val="1"/>
      <w:numFmt w:val="decimal"/>
      <w:pStyle w:val="Subtitle"/>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65C7F2F"/>
    <w:multiLevelType w:val="hybridMultilevel"/>
    <w:tmpl w:val="5B542A64"/>
    <w:lvl w:ilvl="0" w:tplc="5D0AA69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19767E"/>
    <w:multiLevelType w:val="hybridMultilevel"/>
    <w:tmpl w:val="0A468F9C"/>
    <w:lvl w:ilvl="0" w:tplc="2C6A3892">
      <w:start w:val="3"/>
      <w:numFmt w:val="bullet"/>
      <w:lvlText w:val="-"/>
      <w:lvlJc w:val="left"/>
      <w:pPr>
        <w:ind w:left="720" w:hanging="360"/>
      </w:pPr>
      <w:rPr>
        <w:rFonts w:ascii="Calibri" w:eastAsia="Calibri" w:hAnsi="Calibri" w:cs="Calibri" w:hint="default"/>
      </w:rPr>
    </w:lvl>
    <w:lvl w:ilvl="1" w:tplc="5D0AA696">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7D15C4"/>
    <w:multiLevelType w:val="hybridMultilevel"/>
    <w:tmpl w:val="14FA2A3A"/>
    <w:lvl w:ilvl="0" w:tplc="96E2076E">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2B057B"/>
    <w:multiLevelType w:val="hybridMultilevel"/>
    <w:tmpl w:val="6A2A2C8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30A78ED"/>
    <w:multiLevelType w:val="hybridMultilevel"/>
    <w:tmpl w:val="C2AAA5E2"/>
    <w:lvl w:ilvl="0" w:tplc="CA3C0CD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EB650A"/>
    <w:multiLevelType w:val="hybridMultilevel"/>
    <w:tmpl w:val="DBEEBC44"/>
    <w:lvl w:ilvl="0" w:tplc="80F2492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7E6906"/>
    <w:multiLevelType w:val="hybridMultilevel"/>
    <w:tmpl w:val="D2DE0750"/>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8876C4E"/>
    <w:multiLevelType w:val="hybridMultilevel"/>
    <w:tmpl w:val="8A1CF3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5024D02"/>
    <w:multiLevelType w:val="hybridMultilevel"/>
    <w:tmpl w:val="AAAE5DB0"/>
    <w:lvl w:ilvl="0" w:tplc="517EC420">
      <w:start w:val="1"/>
      <w:numFmt w:val="decimal"/>
      <w:lvlText w:val="%1."/>
      <w:lvlJc w:val="left"/>
      <w:pPr>
        <w:ind w:left="360" w:hanging="360"/>
      </w:pPr>
    </w:lvl>
    <w:lvl w:ilvl="1" w:tplc="4E86D3A6">
      <w:start w:val="1"/>
      <w:numFmt w:val="bullet"/>
      <w:lvlText w:val="-"/>
      <w:lvlJc w:val="left"/>
      <w:pPr>
        <w:ind w:left="1080" w:hanging="360"/>
      </w:pPr>
      <w:rPr>
        <w:rFonts w:ascii="Courier New" w:hAnsi="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752015D"/>
    <w:multiLevelType w:val="multilevel"/>
    <w:tmpl w:val="E694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AC5D57"/>
    <w:multiLevelType w:val="hybridMultilevel"/>
    <w:tmpl w:val="551217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14B1667"/>
    <w:multiLevelType w:val="hybridMultilevel"/>
    <w:tmpl w:val="62665606"/>
    <w:lvl w:ilvl="0" w:tplc="4E86D3A6">
      <w:start w:val="1"/>
      <w:numFmt w:val="bullet"/>
      <w:lvlText w:val="-"/>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DE491A"/>
    <w:multiLevelType w:val="hybridMultilevel"/>
    <w:tmpl w:val="17A80EC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C191F98"/>
    <w:multiLevelType w:val="hybridMultilevel"/>
    <w:tmpl w:val="9B1E6682"/>
    <w:lvl w:ilvl="0" w:tplc="0809000F">
      <w:start w:val="1"/>
      <w:numFmt w:val="decimal"/>
      <w:lvlText w:val="%1."/>
      <w:lvlJc w:val="left"/>
      <w:pPr>
        <w:ind w:left="360" w:hanging="360"/>
      </w:pPr>
    </w:lvl>
    <w:lvl w:ilvl="1" w:tplc="4E86D3A6">
      <w:start w:val="1"/>
      <w:numFmt w:val="bullet"/>
      <w:lvlText w:val="-"/>
      <w:lvlJc w:val="left"/>
      <w:pPr>
        <w:ind w:left="1080" w:hanging="360"/>
      </w:pPr>
      <w:rPr>
        <w:rFonts w:ascii="Courier New" w:hAnsi="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C6E5216"/>
    <w:multiLevelType w:val="hybridMultilevel"/>
    <w:tmpl w:val="C848FB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CD26142"/>
    <w:multiLevelType w:val="multilevel"/>
    <w:tmpl w:val="D052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E5077"/>
    <w:multiLevelType w:val="hybridMultilevel"/>
    <w:tmpl w:val="9600EA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0"/>
  </w:num>
  <w:num w:numId="2">
    <w:abstractNumId w:val="0"/>
  </w:num>
  <w:num w:numId="3">
    <w:abstractNumId w:val="25"/>
  </w:num>
  <w:num w:numId="4">
    <w:abstractNumId w:val="23"/>
  </w:num>
  <w:num w:numId="5">
    <w:abstractNumId w:val="10"/>
  </w:num>
  <w:num w:numId="6">
    <w:abstractNumId w:val="11"/>
  </w:num>
  <w:num w:numId="7">
    <w:abstractNumId w:val="19"/>
  </w:num>
  <w:num w:numId="8">
    <w:abstractNumId w:val="5"/>
  </w:num>
  <w:num w:numId="9">
    <w:abstractNumId w:val="17"/>
  </w:num>
  <w:num w:numId="10">
    <w:abstractNumId w:val="16"/>
  </w:num>
  <w:num w:numId="11">
    <w:abstractNumId w:val="4"/>
  </w:num>
  <w:num w:numId="12">
    <w:abstractNumId w:val="6"/>
  </w:num>
  <w:num w:numId="13">
    <w:abstractNumId w:val="24"/>
  </w:num>
  <w:num w:numId="14">
    <w:abstractNumId w:val="15"/>
  </w:num>
  <w:num w:numId="15">
    <w:abstractNumId w:val="1"/>
  </w:num>
  <w:num w:numId="16">
    <w:abstractNumId w:val="21"/>
  </w:num>
  <w:num w:numId="17">
    <w:abstractNumId w:val="26"/>
  </w:num>
  <w:num w:numId="18">
    <w:abstractNumId w:val="27"/>
  </w:num>
  <w:num w:numId="19">
    <w:abstractNumId w:val="22"/>
  </w:num>
  <w:num w:numId="20">
    <w:abstractNumId w:val="12"/>
  </w:num>
  <w:num w:numId="21">
    <w:abstractNumId w:val="7"/>
  </w:num>
  <w:num w:numId="22">
    <w:abstractNumId w:val="3"/>
  </w:num>
  <w:num w:numId="23">
    <w:abstractNumId w:val="9"/>
  </w:num>
  <w:num w:numId="24">
    <w:abstractNumId w:val="18"/>
  </w:num>
  <w:num w:numId="25">
    <w:abstractNumId w:val="2"/>
  </w:num>
  <w:num w:numId="26">
    <w:abstractNumId w:val="28"/>
  </w:num>
  <w:num w:numId="27">
    <w:abstractNumId w:val="14"/>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F8C"/>
    <w:rsid w:val="000026D7"/>
    <w:rsid w:val="00020457"/>
    <w:rsid w:val="00033A70"/>
    <w:rsid w:val="00034C36"/>
    <w:rsid w:val="00035761"/>
    <w:rsid w:val="00035A6A"/>
    <w:rsid w:val="0003725F"/>
    <w:rsid w:val="000372BF"/>
    <w:rsid w:val="00045040"/>
    <w:rsid w:val="00057C1C"/>
    <w:rsid w:val="00064670"/>
    <w:rsid w:val="00066105"/>
    <w:rsid w:val="00066A84"/>
    <w:rsid w:val="00073441"/>
    <w:rsid w:val="00077F86"/>
    <w:rsid w:val="0008156F"/>
    <w:rsid w:val="00082CA5"/>
    <w:rsid w:val="0009163B"/>
    <w:rsid w:val="000916CA"/>
    <w:rsid w:val="000A1FF0"/>
    <w:rsid w:val="000A2B9C"/>
    <w:rsid w:val="000B17CD"/>
    <w:rsid w:val="000C0972"/>
    <w:rsid w:val="000C5784"/>
    <w:rsid w:val="000C6E00"/>
    <w:rsid w:val="00102E9D"/>
    <w:rsid w:val="001039FE"/>
    <w:rsid w:val="00110906"/>
    <w:rsid w:val="001150F7"/>
    <w:rsid w:val="0013434C"/>
    <w:rsid w:val="00140527"/>
    <w:rsid w:val="00147A36"/>
    <w:rsid w:val="00156830"/>
    <w:rsid w:val="0016098E"/>
    <w:rsid w:val="00167D5F"/>
    <w:rsid w:val="00172569"/>
    <w:rsid w:val="00174F0C"/>
    <w:rsid w:val="0017722F"/>
    <w:rsid w:val="00180815"/>
    <w:rsid w:val="00183CF4"/>
    <w:rsid w:val="001A6DE6"/>
    <w:rsid w:val="001B33D9"/>
    <w:rsid w:val="001B6024"/>
    <w:rsid w:val="001D0E8D"/>
    <w:rsid w:val="001E31E2"/>
    <w:rsid w:val="001E588C"/>
    <w:rsid w:val="001F0638"/>
    <w:rsid w:val="001F63EA"/>
    <w:rsid w:val="001F74FB"/>
    <w:rsid w:val="0020091C"/>
    <w:rsid w:val="00211229"/>
    <w:rsid w:val="002129AE"/>
    <w:rsid w:val="00212DD8"/>
    <w:rsid w:val="00213F32"/>
    <w:rsid w:val="00222B90"/>
    <w:rsid w:val="00231025"/>
    <w:rsid w:val="00241124"/>
    <w:rsid w:val="002417B0"/>
    <w:rsid w:val="00242113"/>
    <w:rsid w:val="0024282D"/>
    <w:rsid w:val="00244016"/>
    <w:rsid w:val="00247424"/>
    <w:rsid w:val="00254257"/>
    <w:rsid w:val="0026418F"/>
    <w:rsid w:val="00275A77"/>
    <w:rsid w:val="00277E9A"/>
    <w:rsid w:val="00281ABC"/>
    <w:rsid w:val="00282536"/>
    <w:rsid w:val="00294CF0"/>
    <w:rsid w:val="002972BC"/>
    <w:rsid w:val="002A51A0"/>
    <w:rsid w:val="002C1535"/>
    <w:rsid w:val="002C21A5"/>
    <w:rsid w:val="002C61E5"/>
    <w:rsid w:val="002D3B86"/>
    <w:rsid w:val="002D41C5"/>
    <w:rsid w:val="002D55D7"/>
    <w:rsid w:val="002D7CB4"/>
    <w:rsid w:val="002E767A"/>
    <w:rsid w:val="002F05A8"/>
    <w:rsid w:val="002F26C5"/>
    <w:rsid w:val="002F5590"/>
    <w:rsid w:val="0030089A"/>
    <w:rsid w:val="00304E64"/>
    <w:rsid w:val="0031004F"/>
    <w:rsid w:val="00315709"/>
    <w:rsid w:val="003211CF"/>
    <w:rsid w:val="00324289"/>
    <w:rsid w:val="00332636"/>
    <w:rsid w:val="0034149C"/>
    <w:rsid w:val="00344616"/>
    <w:rsid w:val="00346ADC"/>
    <w:rsid w:val="003819AB"/>
    <w:rsid w:val="00397596"/>
    <w:rsid w:val="003A0022"/>
    <w:rsid w:val="003A34EB"/>
    <w:rsid w:val="003A4D55"/>
    <w:rsid w:val="003A5C36"/>
    <w:rsid w:val="003B0136"/>
    <w:rsid w:val="003B5298"/>
    <w:rsid w:val="003C1514"/>
    <w:rsid w:val="003E0A87"/>
    <w:rsid w:val="003E2590"/>
    <w:rsid w:val="003E460F"/>
    <w:rsid w:val="003F04C1"/>
    <w:rsid w:val="003F48A8"/>
    <w:rsid w:val="004026E0"/>
    <w:rsid w:val="004119AE"/>
    <w:rsid w:val="004119E7"/>
    <w:rsid w:val="00411B62"/>
    <w:rsid w:val="00412F96"/>
    <w:rsid w:val="00413B57"/>
    <w:rsid w:val="004143AE"/>
    <w:rsid w:val="00415615"/>
    <w:rsid w:val="00416E0F"/>
    <w:rsid w:val="00420A34"/>
    <w:rsid w:val="004221E0"/>
    <w:rsid w:val="00440900"/>
    <w:rsid w:val="004473CF"/>
    <w:rsid w:val="00453791"/>
    <w:rsid w:val="00460E81"/>
    <w:rsid w:val="004622E0"/>
    <w:rsid w:val="004637F1"/>
    <w:rsid w:val="00471EE9"/>
    <w:rsid w:val="00472DC2"/>
    <w:rsid w:val="0047779A"/>
    <w:rsid w:val="00480A5D"/>
    <w:rsid w:val="00485C28"/>
    <w:rsid w:val="004946D7"/>
    <w:rsid w:val="004961F7"/>
    <w:rsid w:val="004A0AFF"/>
    <w:rsid w:val="004A1595"/>
    <w:rsid w:val="004A2332"/>
    <w:rsid w:val="004A411E"/>
    <w:rsid w:val="004A5420"/>
    <w:rsid w:val="004B3E23"/>
    <w:rsid w:val="004D36C3"/>
    <w:rsid w:val="004E5225"/>
    <w:rsid w:val="004E69FB"/>
    <w:rsid w:val="00503D17"/>
    <w:rsid w:val="005041BA"/>
    <w:rsid w:val="00527AB2"/>
    <w:rsid w:val="005361C8"/>
    <w:rsid w:val="0055211F"/>
    <w:rsid w:val="00581C80"/>
    <w:rsid w:val="005841BB"/>
    <w:rsid w:val="00595F74"/>
    <w:rsid w:val="005A2A73"/>
    <w:rsid w:val="005C0849"/>
    <w:rsid w:val="005C44EE"/>
    <w:rsid w:val="005C5BAB"/>
    <w:rsid w:val="005C6FB6"/>
    <w:rsid w:val="005D1127"/>
    <w:rsid w:val="005D1506"/>
    <w:rsid w:val="005D5A7C"/>
    <w:rsid w:val="005D5F06"/>
    <w:rsid w:val="005E48F7"/>
    <w:rsid w:val="005F5221"/>
    <w:rsid w:val="00602632"/>
    <w:rsid w:val="00603CBC"/>
    <w:rsid w:val="006104D1"/>
    <w:rsid w:val="00613926"/>
    <w:rsid w:val="0062109B"/>
    <w:rsid w:val="006234F4"/>
    <w:rsid w:val="006249B7"/>
    <w:rsid w:val="006279ED"/>
    <w:rsid w:val="00636697"/>
    <w:rsid w:val="00636D11"/>
    <w:rsid w:val="00641F4B"/>
    <w:rsid w:val="00642EA6"/>
    <w:rsid w:val="0065240F"/>
    <w:rsid w:val="00653B98"/>
    <w:rsid w:val="0066077B"/>
    <w:rsid w:val="00662403"/>
    <w:rsid w:val="00671797"/>
    <w:rsid w:val="00675036"/>
    <w:rsid w:val="00680070"/>
    <w:rsid w:val="0068165A"/>
    <w:rsid w:val="00684362"/>
    <w:rsid w:val="00693A7F"/>
    <w:rsid w:val="00697CCF"/>
    <w:rsid w:val="006A0DA6"/>
    <w:rsid w:val="006B2913"/>
    <w:rsid w:val="006C186D"/>
    <w:rsid w:val="006C4A32"/>
    <w:rsid w:val="006D68D2"/>
    <w:rsid w:val="006D7B99"/>
    <w:rsid w:val="006E026F"/>
    <w:rsid w:val="006E7A75"/>
    <w:rsid w:val="006F190E"/>
    <w:rsid w:val="0070047C"/>
    <w:rsid w:val="00701431"/>
    <w:rsid w:val="00704AE7"/>
    <w:rsid w:val="00705F5F"/>
    <w:rsid w:val="00707459"/>
    <w:rsid w:val="00707ADE"/>
    <w:rsid w:val="00714B4D"/>
    <w:rsid w:val="00721E59"/>
    <w:rsid w:val="0072311C"/>
    <w:rsid w:val="00725771"/>
    <w:rsid w:val="00733E7D"/>
    <w:rsid w:val="00745B5A"/>
    <w:rsid w:val="00761E87"/>
    <w:rsid w:val="007632CF"/>
    <w:rsid w:val="007672AF"/>
    <w:rsid w:val="007808F8"/>
    <w:rsid w:val="00787E68"/>
    <w:rsid w:val="00793723"/>
    <w:rsid w:val="007A2FCF"/>
    <w:rsid w:val="007A58E3"/>
    <w:rsid w:val="007A63A7"/>
    <w:rsid w:val="007B27DB"/>
    <w:rsid w:val="007B4C9A"/>
    <w:rsid w:val="007B588C"/>
    <w:rsid w:val="007C0EBA"/>
    <w:rsid w:val="007C680F"/>
    <w:rsid w:val="007C6C22"/>
    <w:rsid w:val="007C6F6E"/>
    <w:rsid w:val="007D3B2C"/>
    <w:rsid w:val="007E144B"/>
    <w:rsid w:val="007E35CB"/>
    <w:rsid w:val="007F25EB"/>
    <w:rsid w:val="007F500C"/>
    <w:rsid w:val="007F75E6"/>
    <w:rsid w:val="008002BB"/>
    <w:rsid w:val="00800EED"/>
    <w:rsid w:val="008056DD"/>
    <w:rsid w:val="0080618C"/>
    <w:rsid w:val="008237CA"/>
    <w:rsid w:val="00823D73"/>
    <w:rsid w:val="00825C5E"/>
    <w:rsid w:val="00832CD7"/>
    <w:rsid w:val="008428E3"/>
    <w:rsid w:val="00846D3F"/>
    <w:rsid w:val="00855124"/>
    <w:rsid w:val="00856FF1"/>
    <w:rsid w:val="00864EF6"/>
    <w:rsid w:val="00866FD0"/>
    <w:rsid w:val="00867C6C"/>
    <w:rsid w:val="008728CD"/>
    <w:rsid w:val="008808F2"/>
    <w:rsid w:val="0088172E"/>
    <w:rsid w:val="00887A52"/>
    <w:rsid w:val="0089715D"/>
    <w:rsid w:val="008A5D4B"/>
    <w:rsid w:val="008A5EF3"/>
    <w:rsid w:val="008C11EC"/>
    <w:rsid w:val="008C412C"/>
    <w:rsid w:val="008D0AA0"/>
    <w:rsid w:val="008D37A7"/>
    <w:rsid w:val="008E5054"/>
    <w:rsid w:val="008E5327"/>
    <w:rsid w:val="008F6C05"/>
    <w:rsid w:val="00903C3B"/>
    <w:rsid w:val="00906FDE"/>
    <w:rsid w:val="009072DE"/>
    <w:rsid w:val="0091071A"/>
    <w:rsid w:val="00917C44"/>
    <w:rsid w:val="00936ED2"/>
    <w:rsid w:val="00936F62"/>
    <w:rsid w:val="00937B37"/>
    <w:rsid w:val="00952632"/>
    <w:rsid w:val="009527B8"/>
    <w:rsid w:val="00955C19"/>
    <w:rsid w:val="009602D2"/>
    <w:rsid w:val="0096232C"/>
    <w:rsid w:val="009669E7"/>
    <w:rsid w:val="00986ED7"/>
    <w:rsid w:val="00996085"/>
    <w:rsid w:val="00996A6F"/>
    <w:rsid w:val="009A1236"/>
    <w:rsid w:val="009A1B17"/>
    <w:rsid w:val="009A4833"/>
    <w:rsid w:val="009B30B1"/>
    <w:rsid w:val="009B5654"/>
    <w:rsid w:val="009C2559"/>
    <w:rsid w:val="009D5876"/>
    <w:rsid w:val="009D6572"/>
    <w:rsid w:val="009E7641"/>
    <w:rsid w:val="009F3553"/>
    <w:rsid w:val="009F45C5"/>
    <w:rsid w:val="00A04607"/>
    <w:rsid w:val="00A0552C"/>
    <w:rsid w:val="00A0742D"/>
    <w:rsid w:val="00A2118F"/>
    <w:rsid w:val="00A44C90"/>
    <w:rsid w:val="00A50EAE"/>
    <w:rsid w:val="00A53C91"/>
    <w:rsid w:val="00A61DA2"/>
    <w:rsid w:val="00A62B6E"/>
    <w:rsid w:val="00A737CB"/>
    <w:rsid w:val="00A7583F"/>
    <w:rsid w:val="00A76ABA"/>
    <w:rsid w:val="00A81D3F"/>
    <w:rsid w:val="00AA0408"/>
    <w:rsid w:val="00AA0C3B"/>
    <w:rsid w:val="00AB1115"/>
    <w:rsid w:val="00AB25E8"/>
    <w:rsid w:val="00AB7A39"/>
    <w:rsid w:val="00AC00E5"/>
    <w:rsid w:val="00AC0D29"/>
    <w:rsid w:val="00AC51FB"/>
    <w:rsid w:val="00AC5909"/>
    <w:rsid w:val="00AD74E2"/>
    <w:rsid w:val="00AE58BD"/>
    <w:rsid w:val="00AF58BE"/>
    <w:rsid w:val="00B011E3"/>
    <w:rsid w:val="00B01EDF"/>
    <w:rsid w:val="00B041F1"/>
    <w:rsid w:val="00B1562F"/>
    <w:rsid w:val="00B174B3"/>
    <w:rsid w:val="00B17CAA"/>
    <w:rsid w:val="00B22ED1"/>
    <w:rsid w:val="00B43CAA"/>
    <w:rsid w:val="00B43D4C"/>
    <w:rsid w:val="00B44709"/>
    <w:rsid w:val="00B46A8E"/>
    <w:rsid w:val="00B46B4C"/>
    <w:rsid w:val="00B524C5"/>
    <w:rsid w:val="00B53B90"/>
    <w:rsid w:val="00B6287D"/>
    <w:rsid w:val="00B63984"/>
    <w:rsid w:val="00B67453"/>
    <w:rsid w:val="00B8342F"/>
    <w:rsid w:val="00B85065"/>
    <w:rsid w:val="00B951C2"/>
    <w:rsid w:val="00B97A8E"/>
    <w:rsid w:val="00B97D9E"/>
    <w:rsid w:val="00BA6223"/>
    <w:rsid w:val="00BA66B7"/>
    <w:rsid w:val="00BA718C"/>
    <w:rsid w:val="00BB1CEC"/>
    <w:rsid w:val="00BC73CA"/>
    <w:rsid w:val="00BD229A"/>
    <w:rsid w:val="00BD4962"/>
    <w:rsid w:val="00BD6521"/>
    <w:rsid w:val="00BD6D77"/>
    <w:rsid w:val="00BE71C2"/>
    <w:rsid w:val="00C01B58"/>
    <w:rsid w:val="00C04FE9"/>
    <w:rsid w:val="00C110E3"/>
    <w:rsid w:val="00C149CD"/>
    <w:rsid w:val="00C15F3F"/>
    <w:rsid w:val="00C1637D"/>
    <w:rsid w:val="00C2436A"/>
    <w:rsid w:val="00C57645"/>
    <w:rsid w:val="00C6470E"/>
    <w:rsid w:val="00C660CD"/>
    <w:rsid w:val="00C733FA"/>
    <w:rsid w:val="00C842D8"/>
    <w:rsid w:val="00C86A26"/>
    <w:rsid w:val="00C92452"/>
    <w:rsid w:val="00C92C09"/>
    <w:rsid w:val="00C9309D"/>
    <w:rsid w:val="00CA0280"/>
    <w:rsid w:val="00CA03A6"/>
    <w:rsid w:val="00CB1C34"/>
    <w:rsid w:val="00CB272A"/>
    <w:rsid w:val="00CB6945"/>
    <w:rsid w:val="00CC63B4"/>
    <w:rsid w:val="00CD51C7"/>
    <w:rsid w:val="00CF65A5"/>
    <w:rsid w:val="00CF6C85"/>
    <w:rsid w:val="00D11C9A"/>
    <w:rsid w:val="00D17352"/>
    <w:rsid w:val="00D23A55"/>
    <w:rsid w:val="00D256D5"/>
    <w:rsid w:val="00D2683C"/>
    <w:rsid w:val="00D3312D"/>
    <w:rsid w:val="00D465B5"/>
    <w:rsid w:val="00D4698F"/>
    <w:rsid w:val="00D527A0"/>
    <w:rsid w:val="00D535F2"/>
    <w:rsid w:val="00D53982"/>
    <w:rsid w:val="00D53B6A"/>
    <w:rsid w:val="00D7036B"/>
    <w:rsid w:val="00D74845"/>
    <w:rsid w:val="00D77FEC"/>
    <w:rsid w:val="00D80358"/>
    <w:rsid w:val="00D86A3D"/>
    <w:rsid w:val="00D91687"/>
    <w:rsid w:val="00DA030B"/>
    <w:rsid w:val="00DA1A21"/>
    <w:rsid w:val="00DA59BE"/>
    <w:rsid w:val="00DD4E47"/>
    <w:rsid w:val="00DD5EA2"/>
    <w:rsid w:val="00DD69EF"/>
    <w:rsid w:val="00DE4F5D"/>
    <w:rsid w:val="00DF1D01"/>
    <w:rsid w:val="00DF409A"/>
    <w:rsid w:val="00E07351"/>
    <w:rsid w:val="00E21CBE"/>
    <w:rsid w:val="00E26D3E"/>
    <w:rsid w:val="00E318EF"/>
    <w:rsid w:val="00E42C6A"/>
    <w:rsid w:val="00E42EF2"/>
    <w:rsid w:val="00E4341D"/>
    <w:rsid w:val="00E47783"/>
    <w:rsid w:val="00E6015A"/>
    <w:rsid w:val="00E815AC"/>
    <w:rsid w:val="00E82A11"/>
    <w:rsid w:val="00E854A4"/>
    <w:rsid w:val="00E868FB"/>
    <w:rsid w:val="00E90369"/>
    <w:rsid w:val="00E90A37"/>
    <w:rsid w:val="00E965C7"/>
    <w:rsid w:val="00EA4776"/>
    <w:rsid w:val="00EA5D41"/>
    <w:rsid w:val="00EA6B3A"/>
    <w:rsid w:val="00EB2822"/>
    <w:rsid w:val="00EB684F"/>
    <w:rsid w:val="00EB7AFC"/>
    <w:rsid w:val="00EC2988"/>
    <w:rsid w:val="00EC5450"/>
    <w:rsid w:val="00ED27FB"/>
    <w:rsid w:val="00ED62DF"/>
    <w:rsid w:val="00EE0205"/>
    <w:rsid w:val="00EE2EA9"/>
    <w:rsid w:val="00EF36AF"/>
    <w:rsid w:val="00EF7608"/>
    <w:rsid w:val="00F00170"/>
    <w:rsid w:val="00F04FD4"/>
    <w:rsid w:val="00F123D4"/>
    <w:rsid w:val="00F140AF"/>
    <w:rsid w:val="00F2524D"/>
    <w:rsid w:val="00F254B8"/>
    <w:rsid w:val="00F27FB1"/>
    <w:rsid w:val="00F31E47"/>
    <w:rsid w:val="00F41244"/>
    <w:rsid w:val="00F4202B"/>
    <w:rsid w:val="00F472F3"/>
    <w:rsid w:val="00F53E25"/>
    <w:rsid w:val="00F6708F"/>
    <w:rsid w:val="00F6750A"/>
    <w:rsid w:val="00F70408"/>
    <w:rsid w:val="00F7534A"/>
    <w:rsid w:val="00F854B6"/>
    <w:rsid w:val="00F95E81"/>
    <w:rsid w:val="00F97178"/>
    <w:rsid w:val="00FA0EE5"/>
    <w:rsid w:val="00FA37B6"/>
    <w:rsid w:val="00FA3BC3"/>
    <w:rsid w:val="00FB04E2"/>
    <w:rsid w:val="00FB0E22"/>
    <w:rsid w:val="00FB0F8C"/>
    <w:rsid w:val="00FC1A10"/>
    <w:rsid w:val="00FC1EC7"/>
    <w:rsid w:val="00FD061F"/>
    <w:rsid w:val="00FD315A"/>
    <w:rsid w:val="00FF4533"/>
    <w:rsid w:val="00FF7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3BD15"/>
  <w15:chartTrackingRefBased/>
  <w15:docId w15:val="{CF6D574B-22B8-4A32-84C7-F0203E83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4E2"/>
    <w:pPr>
      <w:spacing w:before="40" w:after="180"/>
    </w:pPr>
    <w:rPr>
      <w:rFonts w:ascii="Calibri" w:hAnsi="Calibri" w:cs="Times New Roman"/>
      <w:lang w:val="en-US"/>
    </w:rPr>
  </w:style>
  <w:style w:type="paragraph" w:styleId="Heading1">
    <w:name w:val="heading 1"/>
    <w:basedOn w:val="Normal"/>
    <w:next w:val="Normal"/>
    <w:link w:val="Heading1Char"/>
    <w:autoRedefine/>
    <w:uiPriority w:val="9"/>
    <w:qFormat/>
    <w:rsid w:val="00F854B6"/>
    <w:pPr>
      <w:keepNext/>
      <w:keepLines/>
      <w:spacing w:after="100"/>
      <w:outlineLvl w:val="0"/>
    </w:pPr>
    <w:rPr>
      <w:rFonts w:asciiTheme="minorHAnsi" w:eastAsiaTheme="majorEastAsia" w:hAnsiTheme="minorHAnsi"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5D5F06"/>
    <w:pPr>
      <w:spacing w:after="80"/>
      <w:outlineLvl w:val="1"/>
    </w:pPr>
    <w:rPr>
      <w:rFonts w:asciiTheme="minorHAnsi" w:hAnsiTheme="minorHAnsi" w:cstheme="minorBidi"/>
      <w:b/>
      <w:sz w:val="24"/>
    </w:rPr>
  </w:style>
  <w:style w:type="paragraph" w:styleId="Heading3">
    <w:name w:val="heading 3"/>
    <w:basedOn w:val="Normal"/>
    <w:next w:val="Normal"/>
    <w:link w:val="Heading3Char"/>
    <w:autoRedefine/>
    <w:uiPriority w:val="9"/>
    <w:unhideWhenUsed/>
    <w:qFormat/>
    <w:rsid w:val="00F854B6"/>
    <w:pPr>
      <w:keepNext/>
      <w:keepLines/>
      <w:spacing w:after="0"/>
      <w:outlineLvl w:val="2"/>
    </w:pPr>
    <w:rPr>
      <w:rFonts w:asciiTheme="minorHAnsi" w:eastAsiaTheme="majorEastAsia" w:hAnsiTheme="minorHAnsi" w:cstheme="majorBidi"/>
      <w:b/>
      <w:color w:val="243F60" w:themeColor="accent1" w:themeShade="7F"/>
      <w:szCs w:val="24"/>
    </w:rPr>
  </w:style>
  <w:style w:type="paragraph" w:styleId="Heading6">
    <w:name w:val="heading 6"/>
    <w:basedOn w:val="Normal"/>
    <w:next w:val="Normal"/>
    <w:link w:val="Heading6Char"/>
    <w:uiPriority w:val="9"/>
    <w:semiHidden/>
    <w:unhideWhenUsed/>
    <w:qFormat/>
    <w:rsid w:val="003A4D55"/>
    <w:pPr>
      <w:keepNext/>
      <w:keepLines/>
      <w:spacing w:after="0"/>
      <w:outlineLvl w:val="5"/>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3A4D55"/>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F409A"/>
    <w:pPr>
      <w:spacing w:after="160" w:line="240" w:lineRule="auto"/>
      <w:contextualSpacing/>
      <w:jc w:val="center"/>
    </w:pPr>
    <w:rPr>
      <w:rFonts w:ascii="Calibri Light" w:eastAsiaTheme="majorEastAsia" w:hAnsi="Calibri Light" w:cs="Calibri Light"/>
      <w:b/>
      <w:color w:val="0070C0"/>
      <w:spacing w:val="5"/>
      <w:kern w:val="28"/>
      <w:sz w:val="28"/>
      <w:szCs w:val="28"/>
    </w:rPr>
  </w:style>
  <w:style w:type="character" w:customStyle="1" w:styleId="TitleChar">
    <w:name w:val="Title Char"/>
    <w:basedOn w:val="DefaultParagraphFont"/>
    <w:link w:val="Title"/>
    <w:uiPriority w:val="10"/>
    <w:rsid w:val="00DF409A"/>
    <w:rPr>
      <w:rFonts w:ascii="Calibri Light" w:eastAsiaTheme="majorEastAsia" w:hAnsi="Calibri Light" w:cs="Calibri Light"/>
      <w:b/>
      <w:color w:val="0070C0"/>
      <w:spacing w:val="5"/>
      <w:kern w:val="28"/>
      <w:sz w:val="28"/>
      <w:szCs w:val="28"/>
      <w:lang w:val="en-US"/>
    </w:rPr>
  </w:style>
  <w:style w:type="paragraph" w:styleId="Subtitle">
    <w:name w:val="Subtitle"/>
    <w:aliases w:val="Bullet"/>
    <w:basedOn w:val="ListParagraph"/>
    <w:next w:val="Normal"/>
    <w:link w:val="SubtitleChar"/>
    <w:autoRedefine/>
    <w:uiPriority w:val="11"/>
    <w:qFormat/>
    <w:rsid w:val="00A737CB"/>
    <w:pPr>
      <w:numPr>
        <w:numId w:val="6"/>
      </w:numPr>
    </w:pPr>
  </w:style>
  <w:style w:type="character" w:customStyle="1" w:styleId="SubtitleChar">
    <w:name w:val="Subtitle Char"/>
    <w:aliases w:val="Bullet Char"/>
    <w:basedOn w:val="DefaultParagraphFont"/>
    <w:link w:val="Subtitle"/>
    <w:uiPriority w:val="11"/>
    <w:rsid w:val="00A737CB"/>
    <w:rPr>
      <w:rFonts w:ascii="Calibri" w:hAnsi="Calibri" w:cs="Times New Roman"/>
    </w:rPr>
  </w:style>
  <w:style w:type="character" w:customStyle="1" w:styleId="Heading2Char">
    <w:name w:val="Heading 2 Char"/>
    <w:basedOn w:val="DefaultParagraphFont"/>
    <w:link w:val="Heading2"/>
    <w:uiPriority w:val="9"/>
    <w:rsid w:val="005D5F06"/>
    <w:rPr>
      <w:b/>
      <w:sz w:val="24"/>
    </w:rPr>
  </w:style>
  <w:style w:type="character" w:customStyle="1" w:styleId="Heading1Char">
    <w:name w:val="Heading 1 Char"/>
    <w:basedOn w:val="DefaultParagraphFont"/>
    <w:link w:val="Heading1"/>
    <w:uiPriority w:val="9"/>
    <w:rsid w:val="00F854B6"/>
    <w:rPr>
      <w:rFonts w:eastAsiaTheme="majorEastAsia" w:cstheme="majorBidi"/>
      <w:b/>
      <w:color w:val="000000" w:themeColor="text1"/>
      <w:sz w:val="28"/>
      <w:szCs w:val="32"/>
    </w:rPr>
  </w:style>
  <w:style w:type="paragraph" w:styleId="ListParagraph">
    <w:name w:val="List Paragraph"/>
    <w:basedOn w:val="Normal"/>
    <w:uiPriority w:val="34"/>
    <w:qFormat/>
    <w:rsid w:val="00B97D9E"/>
    <w:pPr>
      <w:ind w:left="720"/>
      <w:contextualSpacing/>
    </w:pPr>
  </w:style>
  <w:style w:type="paragraph" w:styleId="Header">
    <w:name w:val="header"/>
    <w:basedOn w:val="Normal"/>
    <w:link w:val="HeaderChar"/>
    <w:uiPriority w:val="99"/>
    <w:unhideWhenUsed/>
    <w:rsid w:val="00B97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D9E"/>
    <w:rPr>
      <w:rFonts w:ascii="Calibri" w:hAnsi="Calibri" w:cs="Times New Roman"/>
    </w:rPr>
  </w:style>
  <w:style w:type="paragraph" w:styleId="Footer">
    <w:name w:val="footer"/>
    <w:basedOn w:val="Normal"/>
    <w:link w:val="FooterChar"/>
    <w:uiPriority w:val="99"/>
    <w:unhideWhenUsed/>
    <w:rsid w:val="00B9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D9E"/>
    <w:rPr>
      <w:rFonts w:ascii="Calibri" w:hAnsi="Calibri" w:cs="Times New Roman"/>
    </w:rPr>
  </w:style>
  <w:style w:type="paragraph" w:styleId="PlainText">
    <w:name w:val="Plain Text"/>
    <w:basedOn w:val="Normal"/>
    <w:link w:val="PlainTextChar"/>
    <w:uiPriority w:val="99"/>
    <w:semiHidden/>
    <w:unhideWhenUsed/>
    <w:rsid w:val="002C21A5"/>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semiHidden/>
    <w:rsid w:val="002C21A5"/>
    <w:rPr>
      <w:rFonts w:ascii="Calibri" w:eastAsiaTheme="minorHAnsi" w:hAnsi="Calibri"/>
      <w:szCs w:val="21"/>
    </w:rPr>
  </w:style>
  <w:style w:type="paragraph" w:styleId="BalloonText">
    <w:name w:val="Balloon Text"/>
    <w:basedOn w:val="Normal"/>
    <w:link w:val="BalloonTextChar"/>
    <w:uiPriority w:val="99"/>
    <w:semiHidden/>
    <w:unhideWhenUsed/>
    <w:rsid w:val="00B46A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A8E"/>
    <w:rPr>
      <w:rFonts w:ascii="Segoe UI" w:hAnsi="Segoe UI" w:cs="Segoe UI"/>
      <w:sz w:val="18"/>
      <w:szCs w:val="18"/>
    </w:rPr>
  </w:style>
  <w:style w:type="character" w:customStyle="1" w:styleId="Heading3Char">
    <w:name w:val="Heading 3 Char"/>
    <w:basedOn w:val="DefaultParagraphFont"/>
    <w:link w:val="Heading3"/>
    <w:uiPriority w:val="9"/>
    <w:rsid w:val="00F854B6"/>
    <w:rPr>
      <w:rFonts w:eastAsiaTheme="majorEastAsia" w:cstheme="majorBidi"/>
      <w:b/>
      <w:color w:val="243F60" w:themeColor="accent1" w:themeShade="7F"/>
      <w:szCs w:val="24"/>
    </w:rPr>
  </w:style>
  <w:style w:type="table" w:styleId="TableGrid">
    <w:name w:val="Table Grid"/>
    <w:basedOn w:val="TableNormal"/>
    <w:uiPriority w:val="59"/>
    <w:rsid w:val="0048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aliases w:val="Table"/>
    <w:uiPriority w:val="19"/>
    <w:qFormat/>
    <w:rsid w:val="00602632"/>
    <w:rPr>
      <w:sz w:val="20"/>
      <w:szCs w:val="20"/>
    </w:rPr>
  </w:style>
  <w:style w:type="character" w:styleId="Hyperlink">
    <w:name w:val="Hyperlink"/>
    <w:basedOn w:val="DefaultParagraphFont"/>
    <w:uiPriority w:val="99"/>
    <w:unhideWhenUsed/>
    <w:rsid w:val="00C92452"/>
    <w:rPr>
      <w:color w:val="0000FF" w:themeColor="hyperlink"/>
      <w:u w:val="single"/>
    </w:rPr>
  </w:style>
  <w:style w:type="character" w:styleId="UnresolvedMention">
    <w:name w:val="Unresolved Mention"/>
    <w:basedOn w:val="DefaultParagraphFont"/>
    <w:uiPriority w:val="99"/>
    <w:semiHidden/>
    <w:unhideWhenUsed/>
    <w:rsid w:val="00066A84"/>
    <w:rPr>
      <w:color w:val="605E5C"/>
      <w:shd w:val="clear" w:color="auto" w:fill="E1DFDD"/>
    </w:rPr>
  </w:style>
  <w:style w:type="character" w:styleId="FollowedHyperlink">
    <w:name w:val="FollowedHyperlink"/>
    <w:basedOn w:val="DefaultParagraphFont"/>
    <w:uiPriority w:val="99"/>
    <w:semiHidden/>
    <w:unhideWhenUsed/>
    <w:rsid w:val="00761E87"/>
    <w:rPr>
      <w:color w:val="800080" w:themeColor="followedHyperlink"/>
      <w:u w:val="single"/>
    </w:rPr>
  </w:style>
  <w:style w:type="character" w:customStyle="1" w:styleId="Heading6Char">
    <w:name w:val="Heading 6 Char"/>
    <w:basedOn w:val="DefaultParagraphFont"/>
    <w:link w:val="Heading6"/>
    <w:uiPriority w:val="9"/>
    <w:semiHidden/>
    <w:rsid w:val="003A4D55"/>
    <w:rPr>
      <w:rFonts w:asciiTheme="majorHAnsi" w:eastAsiaTheme="majorEastAsia" w:hAnsiTheme="majorHAnsi" w:cstheme="majorBidi"/>
      <w:color w:val="243F60" w:themeColor="accent1" w:themeShade="7F"/>
      <w:lang w:val="en-US"/>
    </w:rPr>
  </w:style>
  <w:style w:type="character" w:customStyle="1" w:styleId="Heading9Char">
    <w:name w:val="Heading 9 Char"/>
    <w:basedOn w:val="DefaultParagraphFont"/>
    <w:link w:val="Heading9"/>
    <w:uiPriority w:val="9"/>
    <w:semiHidden/>
    <w:rsid w:val="003A4D55"/>
    <w:rPr>
      <w:rFonts w:asciiTheme="majorHAnsi" w:eastAsiaTheme="majorEastAsia" w:hAnsiTheme="majorHAnsi" w:cstheme="majorBidi"/>
      <w:i/>
      <w:iCs/>
      <w:color w:val="272727" w:themeColor="text1" w:themeTint="D8"/>
      <w:sz w:val="21"/>
      <w:szCs w:val="21"/>
      <w:lang w:val="en-US"/>
    </w:rPr>
  </w:style>
  <w:style w:type="paragraph" w:styleId="BodyText2">
    <w:name w:val="Body Text 2"/>
    <w:basedOn w:val="Normal"/>
    <w:link w:val="BodyText2Char"/>
    <w:uiPriority w:val="99"/>
    <w:rsid w:val="003A4D55"/>
    <w:pPr>
      <w:spacing w:before="0" w:after="0" w:line="360" w:lineRule="auto"/>
    </w:pPr>
    <w:rPr>
      <w:rFonts w:ascii="Arial" w:eastAsiaTheme="minorEastAsia" w:hAnsi="Arial" w:cs="Arial"/>
      <w:sz w:val="28"/>
      <w:szCs w:val="28"/>
      <w:lang w:val="en-GB"/>
    </w:rPr>
  </w:style>
  <w:style w:type="character" w:customStyle="1" w:styleId="BodyText2Char">
    <w:name w:val="Body Text 2 Char"/>
    <w:basedOn w:val="DefaultParagraphFont"/>
    <w:link w:val="BodyText2"/>
    <w:uiPriority w:val="99"/>
    <w:rsid w:val="003A4D55"/>
    <w:rPr>
      <w:rFonts w:ascii="Arial" w:eastAsiaTheme="minorEastAsia" w:hAnsi="Arial" w:cs="Arial"/>
      <w:sz w:val="28"/>
      <w:szCs w:val="28"/>
    </w:rPr>
  </w:style>
  <w:style w:type="paragraph" w:styleId="BodyText">
    <w:name w:val="Body Text"/>
    <w:basedOn w:val="Normal"/>
    <w:link w:val="BodyTextChar"/>
    <w:uiPriority w:val="99"/>
    <w:rsid w:val="003A4D55"/>
    <w:pPr>
      <w:spacing w:before="0" w:after="0" w:line="360" w:lineRule="auto"/>
      <w:jc w:val="center"/>
    </w:pPr>
    <w:rPr>
      <w:rFonts w:ascii="Arial" w:eastAsiaTheme="minorEastAsia" w:hAnsi="Arial" w:cs="Arial"/>
      <w:sz w:val="32"/>
      <w:szCs w:val="32"/>
      <w:lang w:val="en-GB"/>
    </w:rPr>
  </w:style>
  <w:style w:type="character" w:customStyle="1" w:styleId="BodyTextChar">
    <w:name w:val="Body Text Char"/>
    <w:basedOn w:val="DefaultParagraphFont"/>
    <w:link w:val="BodyText"/>
    <w:uiPriority w:val="99"/>
    <w:rsid w:val="003A4D55"/>
    <w:rPr>
      <w:rFonts w:ascii="Arial" w:eastAsiaTheme="minorEastAsia"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81364">
      <w:bodyDiv w:val="1"/>
      <w:marLeft w:val="0"/>
      <w:marRight w:val="0"/>
      <w:marTop w:val="0"/>
      <w:marBottom w:val="0"/>
      <w:divBdr>
        <w:top w:val="none" w:sz="0" w:space="0" w:color="auto"/>
        <w:left w:val="none" w:sz="0" w:space="0" w:color="auto"/>
        <w:bottom w:val="none" w:sz="0" w:space="0" w:color="auto"/>
        <w:right w:val="none" w:sz="0" w:space="0" w:color="auto"/>
      </w:divBdr>
    </w:div>
    <w:div w:id="1353914776">
      <w:bodyDiv w:val="1"/>
      <w:marLeft w:val="0"/>
      <w:marRight w:val="0"/>
      <w:marTop w:val="0"/>
      <w:marBottom w:val="0"/>
      <w:divBdr>
        <w:top w:val="none" w:sz="0" w:space="0" w:color="auto"/>
        <w:left w:val="none" w:sz="0" w:space="0" w:color="auto"/>
        <w:bottom w:val="none" w:sz="0" w:space="0" w:color="auto"/>
        <w:right w:val="none" w:sz="0" w:space="0" w:color="auto"/>
      </w:divBdr>
    </w:div>
    <w:div w:id="1406418506">
      <w:bodyDiv w:val="1"/>
      <w:marLeft w:val="0"/>
      <w:marRight w:val="0"/>
      <w:marTop w:val="0"/>
      <w:marBottom w:val="0"/>
      <w:divBdr>
        <w:top w:val="none" w:sz="0" w:space="0" w:color="auto"/>
        <w:left w:val="none" w:sz="0" w:space="0" w:color="auto"/>
        <w:bottom w:val="none" w:sz="0" w:space="0" w:color="auto"/>
        <w:right w:val="none" w:sz="0" w:space="0" w:color="auto"/>
      </w:divBdr>
    </w:div>
    <w:div w:id="18090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na\OneDrive\Documents\!%20Omnicompetent%20Ltd\Courses\Career%20Foundry%20-%20Data%20Analytics\Intro%20to%20Data%20Analytics\10%20Final%20Project%20-%20An%20Initial%20Insigh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nna\OneDrive\Documents\!%20Omnicompetent%20Ltd\Courses\Career%20Foundry%20-%20Data%20Analytics\Intro%20to%20Data%20Analytics\10%20Final%20Project%20-%20An%20Initial%20Insigh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nna\OneDrive\Documents\!%20Omnicompetent%20Ltd\Courses\Career%20Foundry%20-%20Data%20Analytics\Intro%20to%20Data%20Analytics\10%20Final%20Project%20-%20Data%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nna\OneDrive\Documents\!%20Omnicompetent%20Ltd\Courses\Career%20Foundry%20-%20Data%20Analytics\Intro%20to%20Data%20Analytics\10%20Final%20Project%20-%20Data%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anna\OneDrive\Documents\!%20Omnicompetent%20Ltd\Courses\Career%20Foundry%20-%20Data%20Analytics\Intro%20to%20Data%20Analytics\10%20b.%20Final%20Project%20-%20Data%20Analysis%20V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anna\OneDrive\Documents\!%20Omnicompetent%20Ltd\Courses\Career%20Foundry%20-%20Data%20Analytics\Intro%20to%20Data%20Analytics\10%20Final%20Project%20-%20Data%20Analysis%20V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anna\OneDrive\Documents\!%20Omnicompetent%20Ltd\Courses\Career%20Foundry%20-%20Data%20Analytics\Intro%20to%20Data%20Analytics\10%20Final%20Project%20-%20Data%20Analysis%20V2.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[10 Final Project - An Initial Insight.xlsx]SumRegionalSalesYr!PivotTable1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Video Game Unit Sales by Region from 1994 to 2016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SumRegionalSalesYr!$B$3</c:f>
              <c:strCache>
                <c:ptCount val="1"/>
                <c:pt idx="0">
                  <c:v>Sum of NA Sales</c:v>
                </c:pt>
              </c:strCache>
            </c:strRef>
          </c:tx>
          <c:spPr>
            <a:ln w="28575" cap="rnd">
              <a:solidFill>
                <a:schemeClr val="accent1"/>
              </a:solidFill>
              <a:round/>
            </a:ln>
            <a:effectLst/>
          </c:spPr>
          <c:marker>
            <c:symbol val="none"/>
          </c:marker>
          <c:cat>
            <c:strRef>
              <c:f>SumRegionalSalesYr!$A$4:$A$27</c:f>
              <c:strCache>
                <c:ptCount val="23"/>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pt idx="22">
                  <c:v>2016</c:v>
                </c:pt>
              </c:strCache>
            </c:strRef>
          </c:cat>
          <c:val>
            <c:numRef>
              <c:f>SumRegionalSalesYr!$B$4:$B$27</c:f>
              <c:numCache>
                <c:formatCode>General</c:formatCode>
                <c:ptCount val="23"/>
                <c:pt idx="0">
                  <c:v>28.150000000000002</c:v>
                </c:pt>
                <c:pt idx="1">
                  <c:v>24.82</c:v>
                </c:pt>
                <c:pt idx="2">
                  <c:v>86.759999999999991</c:v>
                </c:pt>
                <c:pt idx="3">
                  <c:v>94.750000000000028</c:v>
                </c:pt>
                <c:pt idx="4">
                  <c:v>128.35999999999999</c:v>
                </c:pt>
                <c:pt idx="5">
                  <c:v>126.06000000000002</c:v>
                </c:pt>
                <c:pt idx="6">
                  <c:v>94.49</c:v>
                </c:pt>
                <c:pt idx="7">
                  <c:v>173.98000000000008</c:v>
                </c:pt>
                <c:pt idx="8">
                  <c:v>216.19000000000014</c:v>
                </c:pt>
                <c:pt idx="9">
                  <c:v>193.59000000000037</c:v>
                </c:pt>
                <c:pt idx="10">
                  <c:v>222.59000000000017</c:v>
                </c:pt>
                <c:pt idx="11">
                  <c:v>242.61000000000013</c:v>
                </c:pt>
                <c:pt idx="12">
                  <c:v>263.11999999999983</c:v>
                </c:pt>
                <c:pt idx="13">
                  <c:v>312.04999999999961</c:v>
                </c:pt>
                <c:pt idx="14">
                  <c:v>351.43999999999994</c:v>
                </c:pt>
                <c:pt idx="15">
                  <c:v>338.84999999999991</c:v>
                </c:pt>
                <c:pt idx="16">
                  <c:v>304.24000000000029</c:v>
                </c:pt>
                <c:pt idx="17">
                  <c:v>241.06000000000029</c:v>
                </c:pt>
                <c:pt idx="18">
                  <c:v>154.96000000000004</c:v>
                </c:pt>
                <c:pt idx="19">
                  <c:v>154.77000000000007</c:v>
                </c:pt>
                <c:pt idx="20">
                  <c:v>131.97000000000003</c:v>
                </c:pt>
                <c:pt idx="21">
                  <c:v>102.81999999999998</c:v>
                </c:pt>
                <c:pt idx="22">
                  <c:v>22.660000000000018</c:v>
                </c:pt>
              </c:numCache>
            </c:numRef>
          </c:val>
          <c:smooth val="0"/>
          <c:extLst>
            <c:ext xmlns:c16="http://schemas.microsoft.com/office/drawing/2014/chart" uri="{C3380CC4-5D6E-409C-BE32-E72D297353CC}">
              <c16:uniqueId val="{00000000-B4D4-4902-898A-23C2135D3F83}"/>
            </c:ext>
          </c:extLst>
        </c:ser>
        <c:ser>
          <c:idx val="1"/>
          <c:order val="1"/>
          <c:tx>
            <c:strRef>
              <c:f>SumRegionalSalesYr!$C$3</c:f>
              <c:strCache>
                <c:ptCount val="1"/>
                <c:pt idx="0">
                  <c:v>Sum of EU Sales</c:v>
                </c:pt>
              </c:strCache>
            </c:strRef>
          </c:tx>
          <c:spPr>
            <a:ln w="28575" cap="rnd">
              <a:solidFill>
                <a:schemeClr val="accent2"/>
              </a:solidFill>
              <a:round/>
            </a:ln>
            <a:effectLst/>
          </c:spPr>
          <c:marker>
            <c:symbol val="none"/>
          </c:marker>
          <c:cat>
            <c:strRef>
              <c:f>SumRegionalSalesYr!$A$4:$A$27</c:f>
              <c:strCache>
                <c:ptCount val="23"/>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pt idx="22">
                  <c:v>2016</c:v>
                </c:pt>
              </c:strCache>
            </c:strRef>
          </c:cat>
          <c:val>
            <c:numRef>
              <c:f>SumRegionalSalesYr!$C$4:$C$27</c:f>
              <c:numCache>
                <c:formatCode>General</c:formatCode>
                <c:ptCount val="23"/>
                <c:pt idx="0">
                  <c:v>14.879999999999999</c:v>
                </c:pt>
                <c:pt idx="1">
                  <c:v>14.89999999999999</c:v>
                </c:pt>
                <c:pt idx="2">
                  <c:v>47.260000000000012</c:v>
                </c:pt>
                <c:pt idx="3">
                  <c:v>48.32</c:v>
                </c:pt>
                <c:pt idx="4">
                  <c:v>66.900000000000034</c:v>
                </c:pt>
                <c:pt idx="5">
                  <c:v>62.669999999999995</c:v>
                </c:pt>
                <c:pt idx="6">
                  <c:v>52.75</c:v>
                </c:pt>
                <c:pt idx="7">
                  <c:v>94.889999999999887</c:v>
                </c:pt>
                <c:pt idx="8">
                  <c:v>109.74000000000008</c:v>
                </c:pt>
                <c:pt idx="9">
                  <c:v>103.81000000000009</c:v>
                </c:pt>
                <c:pt idx="10">
                  <c:v>107.32000000000011</c:v>
                </c:pt>
                <c:pt idx="11">
                  <c:v>121.9400000000002</c:v>
                </c:pt>
                <c:pt idx="12">
                  <c:v>129.24000000000009</c:v>
                </c:pt>
                <c:pt idx="13">
                  <c:v>160.50000000000026</c:v>
                </c:pt>
                <c:pt idx="14">
                  <c:v>184.40000000000006</c:v>
                </c:pt>
                <c:pt idx="15">
                  <c:v>191.58999999999983</c:v>
                </c:pt>
                <c:pt idx="16">
                  <c:v>176.72999999999993</c:v>
                </c:pt>
                <c:pt idx="17">
                  <c:v>167.44000000000005</c:v>
                </c:pt>
                <c:pt idx="18">
                  <c:v>118.78000000000002</c:v>
                </c:pt>
                <c:pt idx="19">
                  <c:v>125.79999999999998</c:v>
                </c:pt>
                <c:pt idx="20">
                  <c:v>125.65000000000016</c:v>
                </c:pt>
                <c:pt idx="21">
                  <c:v>97.710000000000008</c:v>
                </c:pt>
                <c:pt idx="22">
                  <c:v>26.76000000000003</c:v>
                </c:pt>
              </c:numCache>
            </c:numRef>
          </c:val>
          <c:smooth val="0"/>
          <c:extLst>
            <c:ext xmlns:c16="http://schemas.microsoft.com/office/drawing/2014/chart" uri="{C3380CC4-5D6E-409C-BE32-E72D297353CC}">
              <c16:uniqueId val="{00000001-B4D4-4902-898A-23C2135D3F83}"/>
            </c:ext>
          </c:extLst>
        </c:ser>
        <c:ser>
          <c:idx val="2"/>
          <c:order val="2"/>
          <c:tx>
            <c:strRef>
              <c:f>SumRegionalSalesYr!$D$3</c:f>
              <c:strCache>
                <c:ptCount val="1"/>
                <c:pt idx="0">
                  <c:v>Sum of JP Sales</c:v>
                </c:pt>
              </c:strCache>
            </c:strRef>
          </c:tx>
          <c:spPr>
            <a:ln w="28575" cap="rnd">
              <a:solidFill>
                <a:schemeClr val="accent3"/>
              </a:solidFill>
              <a:round/>
            </a:ln>
            <a:effectLst/>
          </c:spPr>
          <c:marker>
            <c:symbol val="none"/>
          </c:marker>
          <c:cat>
            <c:strRef>
              <c:f>SumRegionalSalesYr!$A$4:$A$27</c:f>
              <c:strCache>
                <c:ptCount val="23"/>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pt idx="22">
                  <c:v>2016</c:v>
                </c:pt>
              </c:strCache>
            </c:strRef>
          </c:cat>
          <c:val>
            <c:numRef>
              <c:f>SumRegionalSalesYr!$D$4:$D$27</c:f>
              <c:numCache>
                <c:formatCode>General</c:formatCode>
                <c:ptCount val="23"/>
                <c:pt idx="0">
                  <c:v>33.989999999999995</c:v>
                </c:pt>
                <c:pt idx="1">
                  <c:v>45.749999999999986</c:v>
                </c:pt>
                <c:pt idx="2">
                  <c:v>57.439999999999984</c:v>
                </c:pt>
                <c:pt idx="3">
                  <c:v>48.87</c:v>
                </c:pt>
                <c:pt idx="4">
                  <c:v>50.040000000000006</c:v>
                </c:pt>
                <c:pt idx="5">
                  <c:v>52.340000000000018</c:v>
                </c:pt>
                <c:pt idx="6">
                  <c:v>42.770000000000017</c:v>
                </c:pt>
                <c:pt idx="7">
                  <c:v>39.860000000000014</c:v>
                </c:pt>
                <c:pt idx="8">
                  <c:v>41.759999999999991</c:v>
                </c:pt>
                <c:pt idx="9">
                  <c:v>34.199999999999996</c:v>
                </c:pt>
                <c:pt idx="10">
                  <c:v>41.65</c:v>
                </c:pt>
                <c:pt idx="11">
                  <c:v>54.280000000000015</c:v>
                </c:pt>
                <c:pt idx="12">
                  <c:v>73.730000000000018</c:v>
                </c:pt>
                <c:pt idx="13">
                  <c:v>60.290000000000042</c:v>
                </c:pt>
                <c:pt idx="14">
                  <c:v>60.259999999999984</c:v>
                </c:pt>
                <c:pt idx="15">
                  <c:v>61.889999999999986</c:v>
                </c:pt>
                <c:pt idx="16">
                  <c:v>59.490000000000144</c:v>
                </c:pt>
                <c:pt idx="17">
                  <c:v>53.039999999999992</c:v>
                </c:pt>
                <c:pt idx="18">
                  <c:v>51.740000000000123</c:v>
                </c:pt>
                <c:pt idx="19">
                  <c:v>47.590000000000067</c:v>
                </c:pt>
                <c:pt idx="20">
                  <c:v>39.459999999999994</c:v>
                </c:pt>
                <c:pt idx="21">
                  <c:v>33.719999999999985</c:v>
                </c:pt>
                <c:pt idx="22">
                  <c:v>13.69999999999998</c:v>
                </c:pt>
              </c:numCache>
            </c:numRef>
          </c:val>
          <c:smooth val="0"/>
          <c:extLst>
            <c:ext xmlns:c16="http://schemas.microsoft.com/office/drawing/2014/chart" uri="{C3380CC4-5D6E-409C-BE32-E72D297353CC}">
              <c16:uniqueId val="{00000002-B4D4-4902-898A-23C2135D3F83}"/>
            </c:ext>
          </c:extLst>
        </c:ser>
        <c:ser>
          <c:idx val="3"/>
          <c:order val="3"/>
          <c:tx>
            <c:strRef>
              <c:f>SumRegionalSalesYr!$E$3</c:f>
              <c:strCache>
                <c:ptCount val="1"/>
                <c:pt idx="0">
                  <c:v>Sum of Other Sales</c:v>
                </c:pt>
              </c:strCache>
            </c:strRef>
          </c:tx>
          <c:spPr>
            <a:ln w="28575" cap="rnd">
              <a:solidFill>
                <a:schemeClr val="accent4"/>
              </a:solidFill>
              <a:round/>
            </a:ln>
            <a:effectLst/>
          </c:spPr>
          <c:marker>
            <c:symbol val="none"/>
          </c:marker>
          <c:cat>
            <c:strRef>
              <c:f>SumRegionalSalesYr!$A$4:$A$27</c:f>
              <c:strCache>
                <c:ptCount val="23"/>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pt idx="22">
                  <c:v>2016</c:v>
                </c:pt>
              </c:strCache>
            </c:strRef>
          </c:cat>
          <c:val>
            <c:numRef>
              <c:f>SumRegionalSalesYr!$E$4:$E$27</c:f>
              <c:numCache>
                <c:formatCode>General</c:formatCode>
                <c:ptCount val="23"/>
                <c:pt idx="0">
                  <c:v>2.2000000000000002</c:v>
                </c:pt>
                <c:pt idx="1">
                  <c:v>2.6399999999999988</c:v>
                </c:pt>
                <c:pt idx="2">
                  <c:v>7.6899999999999933</c:v>
                </c:pt>
                <c:pt idx="3">
                  <c:v>9.1299999999999777</c:v>
                </c:pt>
                <c:pt idx="4">
                  <c:v>11.029999999999973</c:v>
                </c:pt>
                <c:pt idx="5">
                  <c:v>10.049999999999971</c:v>
                </c:pt>
                <c:pt idx="6">
                  <c:v>11.619999999999974</c:v>
                </c:pt>
                <c:pt idx="7">
                  <c:v>22.760000000000023</c:v>
                </c:pt>
                <c:pt idx="8">
                  <c:v>27.280000000000037</c:v>
                </c:pt>
                <c:pt idx="9">
                  <c:v>26.01000000000003</c:v>
                </c:pt>
                <c:pt idx="10">
                  <c:v>47.289999999999964</c:v>
                </c:pt>
                <c:pt idx="11">
                  <c:v>40.58000000000002</c:v>
                </c:pt>
                <c:pt idx="12">
                  <c:v>54.430000000000028</c:v>
                </c:pt>
                <c:pt idx="13">
                  <c:v>77.600000000000151</c:v>
                </c:pt>
                <c:pt idx="14">
                  <c:v>82.390000000000271</c:v>
                </c:pt>
                <c:pt idx="15">
                  <c:v>74.769999999999968</c:v>
                </c:pt>
                <c:pt idx="16">
                  <c:v>59.900000000000063</c:v>
                </c:pt>
                <c:pt idx="17">
                  <c:v>54.390000000000057</c:v>
                </c:pt>
                <c:pt idx="18">
                  <c:v>37.819999999999993</c:v>
                </c:pt>
                <c:pt idx="19">
                  <c:v>39.819999999999986</c:v>
                </c:pt>
                <c:pt idx="20">
                  <c:v>40.020000000000046</c:v>
                </c:pt>
                <c:pt idx="21">
                  <c:v>30.010000000000066</c:v>
                </c:pt>
                <c:pt idx="22">
                  <c:v>7.7499999999999885</c:v>
                </c:pt>
              </c:numCache>
            </c:numRef>
          </c:val>
          <c:smooth val="0"/>
          <c:extLst>
            <c:ext xmlns:c16="http://schemas.microsoft.com/office/drawing/2014/chart" uri="{C3380CC4-5D6E-409C-BE32-E72D297353CC}">
              <c16:uniqueId val="{00000003-B4D4-4902-898A-23C2135D3F83}"/>
            </c:ext>
          </c:extLst>
        </c:ser>
        <c:dLbls>
          <c:showLegendKey val="0"/>
          <c:showVal val="0"/>
          <c:showCatName val="0"/>
          <c:showSerName val="0"/>
          <c:showPercent val="0"/>
          <c:showBubbleSize val="0"/>
        </c:dLbls>
        <c:smooth val="0"/>
        <c:axId val="1791098847"/>
        <c:axId val="1791099263"/>
      </c:lineChart>
      <c:catAx>
        <c:axId val="1791098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099263"/>
        <c:crosses val="autoZero"/>
        <c:auto val="1"/>
        <c:lblAlgn val="ctr"/>
        <c:lblOffset val="100"/>
        <c:noMultiLvlLbl val="0"/>
      </c:catAx>
      <c:valAx>
        <c:axId val="1791099263"/>
        <c:scaling>
          <c:orientation val="minMax"/>
          <c:max val="3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Million Units Sold</a:t>
                </a:r>
              </a:p>
            </c:rich>
          </c:tx>
          <c:layout>
            <c:manualLayout>
              <c:xMode val="edge"/>
              <c:yMode val="edge"/>
              <c:x val="1.4966859097712209E-2"/>
              <c:y val="0.3253898104634154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0988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[10 Final Project - An Initial Insight.xlsx]SumRegionalSalesYr (2)!PivotTable1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Video Game Sales by Region from 2009 to 2016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'SumRegionalSalesYr (2)'!$B$3</c:f>
              <c:strCache>
                <c:ptCount val="1"/>
                <c:pt idx="0">
                  <c:v>Sum of NA Sales</c:v>
                </c:pt>
              </c:strCache>
            </c:strRef>
          </c:tx>
          <c:spPr>
            <a:ln w="28575" cap="rnd">
              <a:solidFill>
                <a:schemeClr val="accent1"/>
              </a:solidFill>
              <a:round/>
            </a:ln>
            <a:effectLst/>
          </c:spPr>
          <c:marker>
            <c:symbol val="none"/>
          </c:marker>
          <c:cat>
            <c:strRef>
              <c:f>'SumRegionalSalesYr (2)'!$A$4:$A$12</c:f>
              <c:strCache>
                <c:ptCount val="8"/>
                <c:pt idx="0">
                  <c:v>2009</c:v>
                </c:pt>
                <c:pt idx="1">
                  <c:v>2010</c:v>
                </c:pt>
                <c:pt idx="2">
                  <c:v>2011</c:v>
                </c:pt>
                <c:pt idx="3">
                  <c:v>2012</c:v>
                </c:pt>
                <c:pt idx="4">
                  <c:v>2013</c:v>
                </c:pt>
                <c:pt idx="5">
                  <c:v>2014</c:v>
                </c:pt>
                <c:pt idx="6">
                  <c:v>2015</c:v>
                </c:pt>
                <c:pt idx="7">
                  <c:v>2016</c:v>
                </c:pt>
              </c:strCache>
            </c:strRef>
          </c:cat>
          <c:val>
            <c:numRef>
              <c:f>'SumRegionalSalesYr (2)'!$B$4:$B$12</c:f>
              <c:numCache>
                <c:formatCode>General</c:formatCode>
                <c:ptCount val="8"/>
                <c:pt idx="0">
                  <c:v>338.84999999999945</c:v>
                </c:pt>
                <c:pt idx="1">
                  <c:v>304.24000000000075</c:v>
                </c:pt>
                <c:pt idx="2">
                  <c:v>241.06000000000066</c:v>
                </c:pt>
                <c:pt idx="3">
                  <c:v>154.96000000000004</c:v>
                </c:pt>
                <c:pt idx="4">
                  <c:v>154.77000000000001</c:v>
                </c:pt>
                <c:pt idx="5">
                  <c:v>131.97000000000008</c:v>
                </c:pt>
                <c:pt idx="6">
                  <c:v>102.81999999999995</c:v>
                </c:pt>
                <c:pt idx="7">
                  <c:v>22.660000000000004</c:v>
                </c:pt>
              </c:numCache>
            </c:numRef>
          </c:val>
          <c:smooth val="0"/>
          <c:extLst>
            <c:ext xmlns:c16="http://schemas.microsoft.com/office/drawing/2014/chart" uri="{C3380CC4-5D6E-409C-BE32-E72D297353CC}">
              <c16:uniqueId val="{00000000-EED8-4C54-9848-3CE4AC44CBD7}"/>
            </c:ext>
          </c:extLst>
        </c:ser>
        <c:ser>
          <c:idx val="1"/>
          <c:order val="1"/>
          <c:tx>
            <c:strRef>
              <c:f>'SumRegionalSalesYr (2)'!$C$3</c:f>
              <c:strCache>
                <c:ptCount val="1"/>
                <c:pt idx="0">
                  <c:v>Sum of EU Sales</c:v>
                </c:pt>
              </c:strCache>
            </c:strRef>
          </c:tx>
          <c:spPr>
            <a:ln w="28575" cap="rnd">
              <a:solidFill>
                <a:schemeClr val="accent2"/>
              </a:solidFill>
              <a:round/>
            </a:ln>
            <a:effectLst/>
          </c:spPr>
          <c:marker>
            <c:symbol val="none"/>
          </c:marker>
          <c:cat>
            <c:strRef>
              <c:f>'SumRegionalSalesYr (2)'!$A$4:$A$12</c:f>
              <c:strCache>
                <c:ptCount val="8"/>
                <c:pt idx="0">
                  <c:v>2009</c:v>
                </c:pt>
                <c:pt idx="1">
                  <c:v>2010</c:v>
                </c:pt>
                <c:pt idx="2">
                  <c:v>2011</c:v>
                </c:pt>
                <c:pt idx="3">
                  <c:v>2012</c:v>
                </c:pt>
                <c:pt idx="4">
                  <c:v>2013</c:v>
                </c:pt>
                <c:pt idx="5">
                  <c:v>2014</c:v>
                </c:pt>
                <c:pt idx="6">
                  <c:v>2015</c:v>
                </c:pt>
                <c:pt idx="7">
                  <c:v>2016</c:v>
                </c:pt>
              </c:strCache>
            </c:strRef>
          </c:cat>
          <c:val>
            <c:numRef>
              <c:f>'SumRegionalSalesYr (2)'!$C$4:$C$12</c:f>
              <c:numCache>
                <c:formatCode>General</c:formatCode>
                <c:ptCount val="8"/>
                <c:pt idx="0">
                  <c:v>191.59000000000029</c:v>
                </c:pt>
                <c:pt idx="1">
                  <c:v>176.73000000000008</c:v>
                </c:pt>
                <c:pt idx="2">
                  <c:v>167.44000000000037</c:v>
                </c:pt>
                <c:pt idx="3">
                  <c:v>118.77999999999997</c:v>
                </c:pt>
                <c:pt idx="4">
                  <c:v>125.80000000000003</c:v>
                </c:pt>
                <c:pt idx="5">
                  <c:v>125.65000000000009</c:v>
                </c:pt>
                <c:pt idx="6">
                  <c:v>97.71</c:v>
                </c:pt>
                <c:pt idx="7">
                  <c:v>26.759999999999998</c:v>
                </c:pt>
              </c:numCache>
            </c:numRef>
          </c:val>
          <c:smooth val="0"/>
          <c:extLst>
            <c:ext xmlns:c16="http://schemas.microsoft.com/office/drawing/2014/chart" uri="{C3380CC4-5D6E-409C-BE32-E72D297353CC}">
              <c16:uniqueId val="{00000001-EED8-4C54-9848-3CE4AC44CBD7}"/>
            </c:ext>
          </c:extLst>
        </c:ser>
        <c:ser>
          <c:idx val="2"/>
          <c:order val="2"/>
          <c:tx>
            <c:strRef>
              <c:f>'SumRegionalSalesYr (2)'!$D$3</c:f>
              <c:strCache>
                <c:ptCount val="1"/>
                <c:pt idx="0">
                  <c:v>Sum of JP Sales</c:v>
                </c:pt>
              </c:strCache>
            </c:strRef>
          </c:tx>
          <c:spPr>
            <a:ln w="28575" cap="rnd">
              <a:solidFill>
                <a:schemeClr val="accent3"/>
              </a:solidFill>
              <a:round/>
            </a:ln>
            <a:effectLst/>
          </c:spPr>
          <c:marker>
            <c:symbol val="none"/>
          </c:marker>
          <c:cat>
            <c:strRef>
              <c:f>'SumRegionalSalesYr (2)'!$A$4:$A$12</c:f>
              <c:strCache>
                <c:ptCount val="8"/>
                <c:pt idx="0">
                  <c:v>2009</c:v>
                </c:pt>
                <c:pt idx="1">
                  <c:v>2010</c:v>
                </c:pt>
                <c:pt idx="2">
                  <c:v>2011</c:v>
                </c:pt>
                <c:pt idx="3">
                  <c:v>2012</c:v>
                </c:pt>
                <c:pt idx="4">
                  <c:v>2013</c:v>
                </c:pt>
                <c:pt idx="5">
                  <c:v>2014</c:v>
                </c:pt>
                <c:pt idx="6">
                  <c:v>2015</c:v>
                </c:pt>
                <c:pt idx="7">
                  <c:v>2016</c:v>
                </c:pt>
              </c:strCache>
            </c:strRef>
          </c:cat>
          <c:val>
            <c:numRef>
              <c:f>'SumRegionalSalesYr (2)'!$D$4:$D$12</c:f>
              <c:numCache>
                <c:formatCode>General</c:formatCode>
                <c:ptCount val="8"/>
                <c:pt idx="0">
                  <c:v>61.889999999999979</c:v>
                </c:pt>
                <c:pt idx="1">
                  <c:v>59.49000000000013</c:v>
                </c:pt>
                <c:pt idx="2">
                  <c:v>53.040000000000084</c:v>
                </c:pt>
                <c:pt idx="3">
                  <c:v>51.74000000000003</c:v>
                </c:pt>
                <c:pt idx="4">
                  <c:v>47.589999999999989</c:v>
                </c:pt>
                <c:pt idx="5">
                  <c:v>39.460000000000015</c:v>
                </c:pt>
                <c:pt idx="6">
                  <c:v>33.72000000000002</c:v>
                </c:pt>
                <c:pt idx="7">
                  <c:v>13.699999999999974</c:v>
                </c:pt>
              </c:numCache>
            </c:numRef>
          </c:val>
          <c:smooth val="0"/>
          <c:extLst>
            <c:ext xmlns:c16="http://schemas.microsoft.com/office/drawing/2014/chart" uri="{C3380CC4-5D6E-409C-BE32-E72D297353CC}">
              <c16:uniqueId val="{00000002-EED8-4C54-9848-3CE4AC44CBD7}"/>
            </c:ext>
          </c:extLst>
        </c:ser>
        <c:ser>
          <c:idx val="3"/>
          <c:order val="3"/>
          <c:tx>
            <c:strRef>
              <c:f>'SumRegionalSalesYr (2)'!$E$3</c:f>
              <c:strCache>
                <c:ptCount val="1"/>
                <c:pt idx="0">
                  <c:v>Sum of Other Sales</c:v>
                </c:pt>
              </c:strCache>
            </c:strRef>
          </c:tx>
          <c:spPr>
            <a:ln w="28575" cap="rnd">
              <a:solidFill>
                <a:schemeClr val="accent4"/>
              </a:solidFill>
              <a:round/>
            </a:ln>
            <a:effectLst/>
          </c:spPr>
          <c:marker>
            <c:symbol val="none"/>
          </c:marker>
          <c:cat>
            <c:strRef>
              <c:f>'SumRegionalSalesYr (2)'!$A$4:$A$12</c:f>
              <c:strCache>
                <c:ptCount val="8"/>
                <c:pt idx="0">
                  <c:v>2009</c:v>
                </c:pt>
                <c:pt idx="1">
                  <c:v>2010</c:v>
                </c:pt>
                <c:pt idx="2">
                  <c:v>2011</c:v>
                </c:pt>
                <c:pt idx="3">
                  <c:v>2012</c:v>
                </c:pt>
                <c:pt idx="4">
                  <c:v>2013</c:v>
                </c:pt>
                <c:pt idx="5">
                  <c:v>2014</c:v>
                </c:pt>
                <c:pt idx="6">
                  <c:v>2015</c:v>
                </c:pt>
                <c:pt idx="7">
                  <c:v>2016</c:v>
                </c:pt>
              </c:strCache>
            </c:strRef>
          </c:cat>
          <c:val>
            <c:numRef>
              <c:f>'SumRegionalSalesYr (2)'!$E$4:$E$12</c:f>
              <c:numCache>
                <c:formatCode>General</c:formatCode>
                <c:ptCount val="8"/>
                <c:pt idx="0">
                  <c:v>74.770000000000167</c:v>
                </c:pt>
                <c:pt idx="1">
                  <c:v>59.900000000000077</c:v>
                </c:pt>
                <c:pt idx="2">
                  <c:v>54.389999999999937</c:v>
                </c:pt>
                <c:pt idx="3">
                  <c:v>37.820000000000022</c:v>
                </c:pt>
                <c:pt idx="4">
                  <c:v>39.820000000000022</c:v>
                </c:pt>
                <c:pt idx="5">
                  <c:v>40.020000000000081</c:v>
                </c:pt>
                <c:pt idx="6">
                  <c:v>30.010000000000026</c:v>
                </c:pt>
                <c:pt idx="7">
                  <c:v>7.7499999999999885</c:v>
                </c:pt>
              </c:numCache>
            </c:numRef>
          </c:val>
          <c:smooth val="0"/>
          <c:extLst>
            <c:ext xmlns:c16="http://schemas.microsoft.com/office/drawing/2014/chart" uri="{C3380CC4-5D6E-409C-BE32-E72D297353CC}">
              <c16:uniqueId val="{00000003-EED8-4C54-9848-3CE4AC44CBD7}"/>
            </c:ext>
          </c:extLst>
        </c:ser>
        <c:dLbls>
          <c:showLegendKey val="0"/>
          <c:showVal val="0"/>
          <c:showCatName val="0"/>
          <c:showSerName val="0"/>
          <c:showPercent val="0"/>
          <c:showBubbleSize val="0"/>
        </c:dLbls>
        <c:smooth val="0"/>
        <c:axId val="1791098847"/>
        <c:axId val="1791099263"/>
      </c:lineChart>
      <c:catAx>
        <c:axId val="1791098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099263"/>
        <c:crosses val="autoZero"/>
        <c:auto val="1"/>
        <c:lblAlgn val="ctr"/>
        <c:lblOffset val="100"/>
        <c:noMultiLvlLbl val="0"/>
      </c:catAx>
      <c:valAx>
        <c:axId val="1791099263"/>
        <c:scaling>
          <c:orientation val="minMax"/>
          <c:max val="3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Million Units Sold</a:t>
                </a:r>
              </a:p>
            </c:rich>
          </c:tx>
          <c:layout>
            <c:manualLayout>
              <c:xMode val="edge"/>
              <c:yMode val="edge"/>
              <c:x val="1.4966859097712209E-2"/>
              <c:y val="0.3253898104634154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0988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[10 Final Project - Data Analysis.xlsx]SumRegional!PivotTable1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a:t>
            </a:r>
            <a:r>
              <a:rPr lang="en-GB" baseline="0"/>
              <a:t> </a:t>
            </a:r>
            <a:r>
              <a:rPr lang="en-GB"/>
              <a:t>Video Game Sales from </a:t>
            </a:r>
            <a:r>
              <a:rPr lang="en-GB" baseline="0"/>
              <a:t>2014 to 2016 by Region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SumRegional!$B$3</c:f>
              <c:strCache>
                <c:ptCount val="1"/>
                <c:pt idx="0">
                  <c:v>Sum of NA Sales</c:v>
                </c:pt>
              </c:strCache>
            </c:strRef>
          </c:tx>
          <c:spPr>
            <a:ln w="28575" cap="rnd">
              <a:solidFill>
                <a:schemeClr val="accent1"/>
              </a:solidFill>
              <a:round/>
            </a:ln>
            <a:effectLst/>
          </c:spPr>
          <c:marker>
            <c:symbol val="none"/>
          </c:marker>
          <c:cat>
            <c:strRef>
              <c:f>SumRegional!$A$4:$A$7</c:f>
              <c:strCache>
                <c:ptCount val="3"/>
                <c:pt idx="0">
                  <c:v>2014</c:v>
                </c:pt>
                <c:pt idx="1">
                  <c:v>2015</c:v>
                </c:pt>
                <c:pt idx="2">
                  <c:v>2016</c:v>
                </c:pt>
              </c:strCache>
            </c:strRef>
          </c:cat>
          <c:val>
            <c:numRef>
              <c:f>SumRegional!$B$4:$B$7</c:f>
              <c:numCache>
                <c:formatCode>General</c:formatCode>
                <c:ptCount val="3"/>
                <c:pt idx="0">
                  <c:v>131.97</c:v>
                </c:pt>
                <c:pt idx="1">
                  <c:v>102.82</c:v>
                </c:pt>
                <c:pt idx="2">
                  <c:v>22.660000000000018</c:v>
                </c:pt>
              </c:numCache>
            </c:numRef>
          </c:val>
          <c:smooth val="0"/>
          <c:extLst>
            <c:ext xmlns:c16="http://schemas.microsoft.com/office/drawing/2014/chart" uri="{C3380CC4-5D6E-409C-BE32-E72D297353CC}">
              <c16:uniqueId val="{00000000-B4D2-4980-ABB6-F30966C88EBC}"/>
            </c:ext>
          </c:extLst>
        </c:ser>
        <c:ser>
          <c:idx val="1"/>
          <c:order val="1"/>
          <c:tx>
            <c:strRef>
              <c:f>SumRegional!$C$3</c:f>
              <c:strCache>
                <c:ptCount val="1"/>
                <c:pt idx="0">
                  <c:v>Sum of EU Sales</c:v>
                </c:pt>
              </c:strCache>
            </c:strRef>
          </c:tx>
          <c:spPr>
            <a:ln w="28575" cap="rnd">
              <a:solidFill>
                <a:schemeClr val="accent2"/>
              </a:solidFill>
              <a:round/>
            </a:ln>
            <a:effectLst/>
          </c:spPr>
          <c:marker>
            <c:symbol val="none"/>
          </c:marker>
          <c:cat>
            <c:strRef>
              <c:f>SumRegional!$A$4:$A$7</c:f>
              <c:strCache>
                <c:ptCount val="3"/>
                <c:pt idx="0">
                  <c:v>2014</c:v>
                </c:pt>
                <c:pt idx="1">
                  <c:v>2015</c:v>
                </c:pt>
                <c:pt idx="2">
                  <c:v>2016</c:v>
                </c:pt>
              </c:strCache>
            </c:strRef>
          </c:cat>
          <c:val>
            <c:numRef>
              <c:f>SumRegional!$C$4:$C$7</c:f>
              <c:numCache>
                <c:formatCode>General</c:formatCode>
                <c:ptCount val="3"/>
                <c:pt idx="0">
                  <c:v>125.64999999999998</c:v>
                </c:pt>
                <c:pt idx="1">
                  <c:v>97.709999999999965</c:v>
                </c:pt>
                <c:pt idx="2">
                  <c:v>26.759999999999984</c:v>
                </c:pt>
              </c:numCache>
            </c:numRef>
          </c:val>
          <c:smooth val="0"/>
          <c:extLst>
            <c:ext xmlns:c16="http://schemas.microsoft.com/office/drawing/2014/chart" uri="{C3380CC4-5D6E-409C-BE32-E72D297353CC}">
              <c16:uniqueId val="{00000001-B4D2-4980-ABB6-F30966C88EBC}"/>
            </c:ext>
          </c:extLst>
        </c:ser>
        <c:ser>
          <c:idx val="2"/>
          <c:order val="2"/>
          <c:tx>
            <c:strRef>
              <c:f>SumRegional!$D$3</c:f>
              <c:strCache>
                <c:ptCount val="1"/>
                <c:pt idx="0">
                  <c:v>Sum of JP Sales</c:v>
                </c:pt>
              </c:strCache>
            </c:strRef>
          </c:tx>
          <c:spPr>
            <a:ln w="28575" cap="rnd">
              <a:solidFill>
                <a:schemeClr val="accent3"/>
              </a:solidFill>
              <a:round/>
            </a:ln>
            <a:effectLst/>
          </c:spPr>
          <c:marker>
            <c:symbol val="none"/>
          </c:marker>
          <c:cat>
            <c:strRef>
              <c:f>SumRegional!$A$4:$A$7</c:f>
              <c:strCache>
                <c:ptCount val="3"/>
                <c:pt idx="0">
                  <c:v>2014</c:v>
                </c:pt>
                <c:pt idx="1">
                  <c:v>2015</c:v>
                </c:pt>
                <c:pt idx="2">
                  <c:v>2016</c:v>
                </c:pt>
              </c:strCache>
            </c:strRef>
          </c:cat>
          <c:val>
            <c:numRef>
              <c:f>SumRegional!$D$4:$D$7</c:f>
              <c:numCache>
                <c:formatCode>General</c:formatCode>
                <c:ptCount val="3"/>
                <c:pt idx="0">
                  <c:v>39.460000000000015</c:v>
                </c:pt>
                <c:pt idx="1">
                  <c:v>33.720000000000056</c:v>
                </c:pt>
                <c:pt idx="2">
                  <c:v>13.699999999999978</c:v>
                </c:pt>
              </c:numCache>
            </c:numRef>
          </c:val>
          <c:smooth val="0"/>
          <c:extLst>
            <c:ext xmlns:c16="http://schemas.microsoft.com/office/drawing/2014/chart" uri="{C3380CC4-5D6E-409C-BE32-E72D297353CC}">
              <c16:uniqueId val="{00000002-B4D2-4980-ABB6-F30966C88EBC}"/>
            </c:ext>
          </c:extLst>
        </c:ser>
        <c:ser>
          <c:idx val="3"/>
          <c:order val="3"/>
          <c:tx>
            <c:strRef>
              <c:f>SumRegional!$E$3</c:f>
              <c:strCache>
                <c:ptCount val="1"/>
                <c:pt idx="0">
                  <c:v>Sum of Other Sales</c:v>
                </c:pt>
              </c:strCache>
            </c:strRef>
          </c:tx>
          <c:spPr>
            <a:ln w="28575" cap="rnd">
              <a:solidFill>
                <a:schemeClr val="accent4"/>
              </a:solidFill>
              <a:round/>
            </a:ln>
            <a:effectLst/>
          </c:spPr>
          <c:marker>
            <c:symbol val="none"/>
          </c:marker>
          <c:cat>
            <c:strRef>
              <c:f>SumRegional!$A$4:$A$7</c:f>
              <c:strCache>
                <c:ptCount val="3"/>
                <c:pt idx="0">
                  <c:v>2014</c:v>
                </c:pt>
                <c:pt idx="1">
                  <c:v>2015</c:v>
                </c:pt>
                <c:pt idx="2">
                  <c:v>2016</c:v>
                </c:pt>
              </c:strCache>
            </c:strRef>
          </c:cat>
          <c:val>
            <c:numRef>
              <c:f>SumRegional!$E$4:$E$7</c:f>
              <c:numCache>
                <c:formatCode>General</c:formatCode>
                <c:ptCount val="3"/>
                <c:pt idx="0">
                  <c:v>40.019999999999996</c:v>
                </c:pt>
                <c:pt idx="1">
                  <c:v>30.010000000000023</c:v>
                </c:pt>
                <c:pt idx="2">
                  <c:v>7.7499999999999858</c:v>
                </c:pt>
              </c:numCache>
            </c:numRef>
          </c:val>
          <c:smooth val="0"/>
          <c:extLst>
            <c:ext xmlns:c16="http://schemas.microsoft.com/office/drawing/2014/chart" uri="{C3380CC4-5D6E-409C-BE32-E72D297353CC}">
              <c16:uniqueId val="{00000003-B4D2-4980-ABB6-F30966C88EBC}"/>
            </c:ext>
          </c:extLst>
        </c:ser>
        <c:dLbls>
          <c:showLegendKey val="0"/>
          <c:showVal val="0"/>
          <c:showCatName val="0"/>
          <c:showSerName val="0"/>
          <c:showPercent val="0"/>
          <c:showBubbleSize val="0"/>
        </c:dLbls>
        <c:smooth val="0"/>
        <c:axId val="752969184"/>
        <c:axId val="752972096"/>
      </c:lineChart>
      <c:catAx>
        <c:axId val="75296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972096"/>
        <c:crosses val="autoZero"/>
        <c:auto val="1"/>
        <c:lblAlgn val="ctr"/>
        <c:lblOffset val="100"/>
        <c:noMultiLvlLbl val="0"/>
      </c:catAx>
      <c:valAx>
        <c:axId val="752972096"/>
        <c:scaling>
          <c:orientation val="minMax"/>
          <c:max val="135"/>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Million Units Sold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969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[10 Final Project - Data Analysis.xlsx]SumAs%Global!PivotTable1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Regional</a:t>
            </a:r>
            <a:r>
              <a:rPr lang="en-GB" baseline="0"/>
              <a:t> Contribution to Global Sales from 2013 to 2016</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'SumAs%Global'!$B$3</c:f>
              <c:strCache>
                <c:ptCount val="1"/>
                <c:pt idx="0">
                  <c:v>Sum of NA % of Global</c:v>
                </c:pt>
              </c:strCache>
            </c:strRef>
          </c:tx>
          <c:spPr>
            <a:ln w="28575" cap="rnd">
              <a:solidFill>
                <a:schemeClr val="accent1"/>
              </a:solidFill>
              <a:round/>
            </a:ln>
            <a:effectLst/>
          </c:spPr>
          <c:marker>
            <c:symbol val="none"/>
          </c:marker>
          <c:cat>
            <c:strRef>
              <c:f>'SumAs%Global'!$A$4:$A$8</c:f>
              <c:strCache>
                <c:ptCount val="4"/>
                <c:pt idx="0">
                  <c:v>2013</c:v>
                </c:pt>
                <c:pt idx="1">
                  <c:v>2014</c:v>
                </c:pt>
                <c:pt idx="2">
                  <c:v>2015</c:v>
                </c:pt>
                <c:pt idx="3">
                  <c:v>2016</c:v>
                </c:pt>
              </c:strCache>
            </c:strRef>
          </c:cat>
          <c:val>
            <c:numRef>
              <c:f>'SumAs%Global'!$B$4:$B$8</c:f>
              <c:numCache>
                <c:formatCode>0%</c:formatCode>
                <c:ptCount val="4"/>
                <c:pt idx="0">
                  <c:v>0.42044497568661543</c:v>
                </c:pt>
                <c:pt idx="1">
                  <c:v>0.39154428126390756</c:v>
                </c:pt>
                <c:pt idx="2">
                  <c:v>0.38882166086824971</c:v>
                </c:pt>
                <c:pt idx="3">
                  <c:v>0.31946989990131097</c:v>
                </c:pt>
              </c:numCache>
            </c:numRef>
          </c:val>
          <c:smooth val="0"/>
          <c:extLst>
            <c:ext xmlns:c16="http://schemas.microsoft.com/office/drawing/2014/chart" uri="{C3380CC4-5D6E-409C-BE32-E72D297353CC}">
              <c16:uniqueId val="{00000000-ADCF-462F-B61D-D7ABC9ED7C4B}"/>
            </c:ext>
          </c:extLst>
        </c:ser>
        <c:ser>
          <c:idx val="1"/>
          <c:order val="1"/>
          <c:tx>
            <c:strRef>
              <c:f>'SumAs%Global'!$C$3</c:f>
              <c:strCache>
                <c:ptCount val="1"/>
                <c:pt idx="0">
                  <c:v>Sum of EU % of Global</c:v>
                </c:pt>
              </c:strCache>
            </c:strRef>
          </c:tx>
          <c:spPr>
            <a:ln w="28575" cap="rnd">
              <a:solidFill>
                <a:schemeClr val="accent2"/>
              </a:solidFill>
              <a:round/>
            </a:ln>
            <a:effectLst/>
          </c:spPr>
          <c:marker>
            <c:symbol val="none"/>
          </c:marker>
          <c:cat>
            <c:strRef>
              <c:f>'SumAs%Global'!$A$4:$A$8</c:f>
              <c:strCache>
                <c:ptCount val="4"/>
                <c:pt idx="0">
                  <c:v>2013</c:v>
                </c:pt>
                <c:pt idx="1">
                  <c:v>2014</c:v>
                </c:pt>
                <c:pt idx="2">
                  <c:v>2015</c:v>
                </c:pt>
                <c:pt idx="3">
                  <c:v>2016</c:v>
                </c:pt>
              </c:strCache>
            </c:strRef>
          </c:cat>
          <c:val>
            <c:numRef>
              <c:f>'SumAs%Global'!$C$4:$C$8</c:f>
              <c:numCache>
                <c:formatCode>0%</c:formatCode>
                <c:ptCount val="4"/>
                <c:pt idx="0">
                  <c:v>0.34174567384749155</c:v>
                </c:pt>
                <c:pt idx="1">
                  <c:v>0.37279335410176528</c:v>
                </c:pt>
                <c:pt idx="2">
                  <c:v>0.36949780668582632</c:v>
                </c:pt>
                <c:pt idx="3">
                  <c:v>0.37727336810940298</c:v>
                </c:pt>
              </c:numCache>
            </c:numRef>
          </c:val>
          <c:smooth val="0"/>
          <c:extLst>
            <c:ext xmlns:c16="http://schemas.microsoft.com/office/drawing/2014/chart" uri="{C3380CC4-5D6E-409C-BE32-E72D297353CC}">
              <c16:uniqueId val="{00000001-ADCF-462F-B61D-D7ABC9ED7C4B}"/>
            </c:ext>
          </c:extLst>
        </c:ser>
        <c:ser>
          <c:idx val="2"/>
          <c:order val="2"/>
          <c:tx>
            <c:strRef>
              <c:f>'SumAs%Global'!$D$3</c:f>
              <c:strCache>
                <c:ptCount val="1"/>
                <c:pt idx="0">
                  <c:v>Sum of JP % of Global</c:v>
                </c:pt>
              </c:strCache>
            </c:strRef>
          </c:tx>
          <c:spPr>
            <a:ln w="28575" cap="rnd">
              <a:solidFill>
                <a:schemeClr val="accent3"/>
              </a:solidFill>
              <a:round/>
            </a:ln>
            <a:effectLst/>
          </c:spPr>
          <c:marker>
            <c:symbol val="none"/>
          </c:marker>
          <c:cat>
            <c:strRef>
              <c:f>'SumAs%Global'!$A$4:$A$8</c:f>
              <c:strCache>
                <c:ptCount val="4"/>
                <c:pt idx="0">
                  <c:v>2013</c:v>
                </c:pt>
                <c:pt idx="1">
                  <c:v>2014</c:v>
                </c:pt>
                <c:pt idx="2">
                  <c:v>2015</c:v>
                </c:pt>
                <c:pt idx="3">
                  <c:v>2016</c:v>
                </c:pt>
              </c:strCache>
            </c:strRef>
          </c:cat>
          <c:val>
            <c:numRef>
              <c:f>'SumAs%Global'!$D$4:$D$8</c:f>
              <c:numCache>
                <c:formatCode>0%</c:formatCode>
                <c:ptCount val="4"/>
                <c:pt idx="0">
                  <c:v>0.12928200809540635</c:v>
                </c:pt>
                <c:pt idx="1">
                  <c:v>0.11707461800919754</c:v>
                </c:pt>
                <c:pt idx="2">
                  <c:v>0.1275147481470279</c:v>
                </c:pt>
                <c:pt idx="3">
                  <c:v>0.19314817425630845</c:v>
                </c:pt>
              </c:numCache>
            </c:numRef>
          </c:val>
          <c:smooth val="0"/>
          <c:extLst>
            <c:ext xmlns:c16="http://schemas.microsoft.com/office/drawing/2014/chart" uri="{C3380CC4-5D6E-409C-BE32-E72D297353CC}">
              <c16:uniqueId val="{00000002-ADCF-462F-B61D-D7ABC9ED7C4B}"/>
            </c:ext>
          </c:extLst>
        </c:ser>
        <c:ser>
          <c:idx val="3"/>
          <c:order val="3"/>
          <c:tx>
            <c:strRef>
              <c:f>'SumAs%Global'!$E$3</c:f>
              <c:strCache>
                <c:ptCount val="1"/>
                <c:pt idx="0">
                  <c:v>Sum of Other % of Global</c:v>
                </c:pt>
              </c:strCache>
            </c:strRef>
          </c:tx>
          <c:spPr>
            <a:ln w="28575" cap="rnd">
              <a:solidFill>
                <a:schemeClr val="accent4"/>
              </a:solidFill>
              <a:round/>
            </a:ln>
            <a:effectLst/>
          </c:spPr>
          <c:marker>
            <c:symbol val="none"/>
          </c:marker>
          <c:cat>
            <c:strRef>
              <c:f>'SumAs%Global'!$A$4:$A$8</c:f>
              <c:strCache>
                <c:ptCount val="4"/>
                <c:pt idx="0">
                  <c:v>2013</c:v>
                </c:pt>
                <c:pt idx="1">
                  <c:v>2014</c:v>
                </c:pt>
                <c:pt idx="2">
                  <c:v>2015</c:v>
                </c:pt>
                <c:pt idx="3">
                  <c:v>2016</c:v>
                </c:pt>
              </c:strCache>
            </c:strRef>
          </c:cat>
          <c:val>
            <c:numRef>
              <c:f>'SumAs%Global'!$E$4:$E$8</c:f>
              <c:numCache>
                <c:formatCode>0%</c:formatCode>
                <c:ptCount val="4"/>
                <c:pt idx="0">
                  <c:v>0.10817418706364954</c:v>
                </c:pt>
                <c:pt idx="1">
                  <c:v>0.11873609256786821</c:v>
                </c:pt>
                <c:pt idx="2">
                  <c:v>0.11348510058992589</c:v>
                </c:pt>
                <c:pt idx="3">
                  <c:v>0.10926265332017447</c:v>
                </c:pt>
              </c:numCache>
            </c:numRef>
          </c:val>
          <c:smooth val="0"/>
          <c:extLst>
            <c:ext xmlns:c16="http://schemas.microsoft.com/office/drawing/2014/chart" uri="{C3380CC4-5D6E-409C-BE32-E72D297353CC}">
              <c16:uniqueId val="{00000003-ADCF-462F-B61D-D7ABC9ED7C4B}"/>
            </c:ext>
          </c:extLst>
        </c:ser>
        <c:dLbls>
          <c:showLegendKey val="0"/>
          <c:showVal val="0"/>
          <c:showCatName val="0"/>
          <c:showSerName val="0"/>
          <c:showPercent val="0"/>
          <c:showBubbleSize val="0"/>
        </c:dLbls>
        <c:smooth val="0"/>
        <c:axId val="1427573375"/>
        <c:axId val="1427578783"/>
      </c:lineChart>
      <c:catAx>
        <c:axId val="1427573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578783"/>
        <c:crosses val="autoZero"/>
        <c:auto val="1"/>
        <c:lblAlgn val="ctr"/>
        <c:lblOffset val="100"/>
        <c:noMultiLvlLbl val="0"/>
      </c:catAx>
      <c:valAx>
        <c:axId val="14275787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573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t>2017 Recommended</a:t>
            </a:r>
            <a:r>
              <a:rPr lang="en-GB" sz="1200" baseline="0"/>
              <a:t> Regional Budget Allocation for </a:t>
            </a:r>
            <a:r>
              <a:rPr lang="en-GB" sz="1200" b="0" i="0" u="none" strike="noStrike" baseline="0">
                <a:effectLst/>
              </a:rPr>
              <a:t>GameCo</a:t>
            </a:r>
            <a:endParaRPr lang="en-GB"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BA-4816-89DB-592FC9BF0E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BA-4816-89DB-592FC9BF0E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BA-4816-89DB-592FC9BF0E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5BA-4816-89DB-592FC9BF0E27}"/>
              </c:ext>
            </c:extLst>
          </c:dPt>
          <c:dLbls>
            <c:dLbl>
              <c:idx val="0"/>
              <c:layout>
                <c:manualLayout>
                  <c:x val="-0.1065117404986686"/>
                  <c:y val="0.11494252873563218"/>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9381"/>
                        <a:gd name="adj2" fmla="val -16548"/>
                      </a:avLst>
                    </a:prstGeom>
                    <a:noFill/>
                    <a:ln>
                      <a:noFill/>
                    </a:ln>
                  </c15:spPr>
                </c:ext>
                <c:ext xmlns:c16="http://schemas.microsoft.com/office/drawing/2014/chart" uri="{C3380CC4-5D6E-409C-BE32-E72D297353CC}">
                  <c16:uniqueId val="{00000001-B5BA-4816-89DB-592FC9BF0E27}"/>
                </c:ext>
              </c:extLst>
            </c:dLbl>
            <c:dLbl>
              <c:idx val="1"/>
              <c:layout>
                <c:manualLayout>
                  <c:x val="8.7145969498910583E-2"/>
                  <c:y val="-8.323424494649227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1064"/>
                        <a:gd name="adj2" fmla="val 39140"/>
                      </a:avLst>
                    </a:prstGeom>
                    <a:noFill/>
                    <a:ln>
                      <a:noFill/>
                    </a:ln>
                  </c15:spPr>
                </c:ext>
                <c:ext xmlns:c16="http://schemas.microsoft.com/office/drawing/2014/chart" uri="{C3380CC4-5D6E-409C-BE32-E72D297353CC}">
                  <c16:uniqueId val="{00000003-B5BA-4816-89DB-592FC9BF0E27}"/>
                </c:ext>
              </c:extLst>
            </c:dLbl>
            <c:dLbl>
              <c:idx val="2"/>
              <c:layout>
                <c:manualLayout>
                  <c:x val="3.146937787460663E-2"/>
                  <c:y val="3.1708283789139841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5616"/>
                        <a:gd name="adj2" fmla="val 7868"/>
                      </a:avLst>
                    </a:prstGeom>
                    <a:noFill/>
                    <a:ln>
                      <a:noFill/>
                    </a:ln>
                  </c15:spPr>
                </c:ext>
                <c:ext xmlns:c16="http://schemas.microsoft.com/office/drawing/2014/chart" uri="{C3380CC4-5D6E-409C-BE32-E72D297353CC}">
                  <c16:uniqueId val="{00000005-B5BA-4816-89DB-592FC9BF0E27}"/>
                </c:ext>
              </c:extLst>
            </c:dLbl>
            <c:dLbl>
              <c:idx val="3"/>
              <c:layout>
                <c:manualLayout>
                  <c:x val="2.662793512466715E-2"/>
                  <c:y val="4.3598890210067381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4869"/>
                        <a:gd name="adj2" fmla="val 10127"/>
                      </a:avLst>
                    </a:prstGeom>
                    <a:noFill/>
                    <a:ln>
                      <a:noFill/>
                    </a:ln>
                  </c15:spPr>
                </c:ext>
                <c:ext xmlns:c16="http://schemas.microsoft.com/office/drawing/2014/chart" uri="{C3380CC4-5D6E-409C-BE32-E72D297353CC}">
                  <c16:uniqueId val="{00000007-B5BA-4816-89DB-592FC9BF0E2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BudgetAssignment2017!$B$1:$E$1</c:f>
              <c:strCache>
                <c:ptCount val="4"/>
                <c:pt idx="0">
                  <c:v>North America</c:v>
                </c:pt>
                <c:pt idx="1">
                  <c:v>Europe</c:v>
                </c:pt>
                <c:pt idx="2">
                  <c:v>Japan</c:v>
                </c:pt>
                <c:pt idx="3">
                  <c:v>Other Areas</c:v>
                </c:pt>
              </c:strCache>
            </c:strRef>
          </c:cat>
          <c:val>
            <c:numRef>
              <c:f>BudgetAssignment2017!$B$2:$E$2</c:f>
              <c:numCache>
                <c:formatCode>0%</c:formatCode>
                <c:ptCount val="4"/>
                <c:pt idx="0">
                  <c:v>0.3</c:v>
                </c:pt>
                <c:pt idx="1">
                  <c:v>0.4</c:v>
                </c:pt>
                <c:pt idx="2">
                  <c:v>0.2</c:v>
                </c:pt>
                <c:pt idx="3">
                  <c:v>0.1</c:v>
                </c:pt>
              </c:numCache>
            </c:numRef>
          </c:val>
          <c:extLst>
            <c:ext xmlns:c16="http://schemas.microsoft.com/office/drawing/2014/chart" uri="{C3380CC4-5D6E-409C-BE32-E72D297353CC}">
              <c16:uniqueId val="{00000008-B5BA-4816-89DB-592FC9BF0E27}"/>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[10 Final Project - Data Analysis V2.xlsx]SalesbyGenre2012-16!PivotTable9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300"/>
              <a:t>Video</a:t>
            </a:r>
            <a:r>
              <a:rPr lang="en-GB" sz="1300" baseline="0"/>
              <a:t> Games Unit Sales by Genre over 5 Years - 2012 to 2016</a:t>
            </a:r>
          </a:p>
          <a:p>
            <a:pPr>
              <a:defRPr/>
            </a:pPr>
            <a:r>
              <a:rPr lang="en-GB" sz="1000" baseline="0"/>
              <a:t>Ordered by Popularity in Europe</a:t>
            </a:r>
            <a:endParaRPr lang="en-GB"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'SalesbyGenre2012-16'!$B$3</c:f>
              <c:strCache>
                <c:ptCount val="1"/>
                <c:pt idx="0">
                  <c:v>Sum of NA Sales</c:v>
                </c:pt>
              </c:strCache>
            </c:strRef>
          </c:tx>
          <c:spPr>
            <a:solidFill>
              <a:schemeClr val="accent1"/>
            </a:solidFill>
            <a:ln>
              <a:noFill/>
            </a:ln>
            <a:effectLst/>
          </c:spPr>
          <c:invertIfNegative val="0"/>
          <c:cat>
            <c:strRef>
              <c:f>'SalesbyGenre2012-16'!$A$4:$A$16</c:f>
              <c:strCache>
                <c:ptCount val="12"/>
                <c:pt idx="0">
                  <c:v>Action</c:v>
                </c:pt>
                <c:pt idx="1">
                  <c:v>Shooter</c:v>
                </c:pt>
                <c:pt idx="2">
                  <c:v>Sports</c:v>
                </c:pt>
                <c:pt idx="3">
                  <c:v>Role-Playing</c:v>
                </c:pt>
                <c:pt idx="4">
                  <c:v>Misc</c:v>
                </c:pt>
                <c:pt idx="5">
                  <c:v>Racing</c:v>
                </c:pt>
                <c:pt idx="6">
                  <c:v>Platform</c:v>
                </c:pt>
                <c:pt idx="7">
                  <c:v>Fighting</c:v>
                </c:pt>
                <c:pt idx="8">
                  <c:v>Adventure</c:v>
                </c:pt>
                <c:pt idx="9">
                  <c:v>Simulation</c:v>
                </c:pt>
                <c:pt idx="10">
                  <c:v>Strategy</c:v>
                </c:pt>
                <c:pt idx="11">
                  <c:v>Puzzle</c:v>
                </c:pt>
              </c:strCache>
            </c:strRef>
          </c:cat>
          <c:val>
            <c:numRef>
              <c:f>'SalesbyGenre2012-16'!$B$4:$B$16</c:f>
              <c:numCache>
                <c:formatCode>General</c:formatCode>
                <c:ptCount val="12"/>
                <c:pt idx="0">
                  <c:v>173.73</c:v>
                </c:pt>
                <c:pt idx="1">
                  <c:v>134.70999999999998</c:v>
                </c:pt>
                <c:pt idx="2">
                  <c:v>78.429999999999964</c:v>
                </c:pt>
                <c:pt idx="3">
                  <c:v>59.24</c:v>
                </c:pt>
                <c:pt idx="4">
                  <c:v>37.979999999999997</c:v>
                </c:pt>
                <c:pt idx="5">
                  <c:v>16.750000000000007</c:v>
                </c:pt>
                <c:pt idx="6">
                  <c:v>25.25</c:v>
                </c:pt>
                <c:pt idx="7">
                  <c:v>19.61000000000001</c:v>
                </c:pt>
                <c:pt idx="8">
                  <c:v>8.449999999999994</c:v>
                </c:pt>
                <c:pt idx="9">
                  <c:v>7.6999999999999993</c:v>
                </c:pt>
                <c:pt idx="10">
                  <c:v>4.17</c:v>
                </c:pt>
                <c:pt idx="11">
                  <c:v>1.1600000000000001</c:v>
                </c:pt>
              </c:numCache>
            </c:numRef>
          </c:val>
          <c:extLst>
            <c:ext xmlns:c16="http://schemas.microsoft.com/office/drawing/2014/chart" uri="{C3380CC4-5D6E-409C-BE32-E72D297353CC}">
              <c16:uniqueId val="{00000000-6981-4216-BB90-6C53036E39CB}"/>
            </c:ext>
          </c:extLst>
        </c:ser>
        <c:ser>
          <c:idx val="1"/>
          <c:order val="1"/>
          <c:tx>
            <c:strRef>
              <c:f>'SalesbyGenre2012-16'!$C$3</c:f>
              <c:strCache>
                <c:ptCount val="1"/>
                <c:pt idx="0">
                  <c:v>Sum of EU Sales</c:v>
                </c:pt>
              </c:strCache>
            </c:strRef>
          </c:tx>
          <c:spPr>
            <a:solidFill>
              <a:schemeClr val="accent2"/>
            </a:solidFill>
            <a:ln>
              <a:noFill/>
            </a:ln>
            <a:effectLst/>
          </c:spPr>
          <c:invertIfNegative val="0"/>
          <c:cat>
            <c:strRef>
              <c:f>'SalesbyGenre2012-16'!$A$4:$A$16</c:f>
              <c:strCache>
                <c:ptCount val="12"/>
                <c:pt idx="0">
                  <c:v>Action</c:v>
                </c:pt>
                <c:pt idx="1">
                  <c:v>Shooter</c:v>
                </c:pt>
                <c:pt idx="2">
                  <c:v>Sports</c:v>
                </c:pt>
                <c:pt idx="3">
                  <c:v>Role-Playing</c:v>
                </c:pt>
                <c:pt idx="4">
                  <c:v>Misc</c:v>
                </c:pt>
                <c:pt idx="5">
                  <c:v>Racing</c:v>
                </c:pt>
                <c:pt idx="6">
                  <c:v>Platform</c:v>
                </c:pt>
                <c:pt idx="7">
                  <c:v>Fighting</c:v>
                </c:pt>
                <c:pt idx="8">
                  <c:v>Adventure</c:v>
                </c:pt>
                <c:pt idx="9">
                  <c:v>Simulation</c:v>
                </c:pt>
                <c:pt idx="10">
                  <c:v>Strategy</c:v>
                </c:pt>
                <c:pt idx="11">
                  <c:v>Puzzle</c:v>
                </c:pt>
              </c:strCache>
            </c:strRef>
          </c:cat>
          <c:val>
            <c:numRef>
              <c:f>'SalesbyGenre2012-16'!$C$4:$C$16</c:f>
              <c:numCache>
                <c:formatCode>General</c:formatCode>
                <c:ptCount val="12"/>
                <c:pt idx="0">
                  <c:v>159.48000000000005</c:v>
                </c:pt>
                <c:pt idx="1">
                  <c:v>107.22999999999999</c:v>
                </c:pt>
                <c:pt idx="2">
                  <c:v>66.740000000000009</c:v>
                </c:pt>
                <c:pt idx="3">
                  <c:v>45.960000000000008</c:v>
                </c:pt>
                <c:pt idx="4">
                  <c:v>26.800000000000004</c:v>
                </c:pt>
                <c:pt idx="5">
                  <c:v>27.47999999999999</c:v>
                </c:pt>
                <c:pt idx="6">
                  <c:v>21.280000000000005</c:v>
                </c:pt>
                <c:pt idx="7">
                  <c:v>10.979999999999993</c:v>
                </c:pt>
                <c:pt idx="8">
                  <c:v>9.159999999999993</c:v>
                </c:pt>
                <c:pt idx="9">
                  <c:v>13.219999999999992</c:v>
                </c:pt>
                <c:pt idx="10">
                  <c:v>4.9799999999999986</c:v>
                </c:pt>
                <c:pt idx="11">
                  <c:v>1.3900000000000001</c:v>
                </c:pt>
              </c:numCache>
            </c:numRef>
          </c:val>
          <c:extLst>
            <c:ext xmlns:c16="http://schemas.microsoft.com/office/drawing/2014/chart" uri="{C3380CC4-5D6E-409C-BE32-E72D297353CC}">
              <c16:uniqueId val="{00000001-6981-4216-BB90-6C53036E39CB}"/>
            </c:ext>
          </c:extLst>
        </c:ser>
        <c:ser>
          <c:idx val="2"/>
          <c:order val="2"/>
          <c:tx>
            <c:strRef>
              <c:f>'SalesbyGenre2012-16'!$D$3</c:f>
              <c:strCache>
                <c:ptCount val="1"/>
                <c:pt idx="0">
                  <c:v>Sum of JP Sales</c:v>
                </c:pt>
              </c:strCache>
            </c:strRef>
          </c:tx>
          <c:spPr>
            <a:solidFill>
              <a:schemeClr val="accent3"/>
            </a:solidFill>
            <a:ln>
              <a:noFill/>
            </a:ln>
            <a:effectLst/>
          </c:spPr>
          <c:invertIfNegative val="0"/>
          <c:cat>
            <c:strRef>
              <c:f>'SalesbyGenre2012-16'!$A$4:$A$16</c:f>
              <c:strCache>
                <c:ptCount val="12"/>
                <c:pt idx="0">
                  <c:v>Action</c:v>
                </c:pt>
                <c:pt idx="1">
                  <c:v>Shooter</c:v>
                </c:pt>
                <c:pt idx="2">
                  <c:v>Sports</c:v>
                </c:pt>
                <c:pt idx="3">
                  <c:v>Role-Playing</c:v>
                </c:pt>
                <c:pt idx="4">
                  <c:v>Misc</c:v>
                </c:pt>
                <c:pt idx="5">
                  <c:v>Racing</c:v>
                </c:pt>
                <c:pt idx="6">
                  <c:v>Platform</c:v>
                </c:pt>
                <c:pt idx="7">
                  <c:v>Fighting</c:v>
                </c:pt>
                <c:pt idx="8">
                  <c:v>Adventure</c:v>
                </c:pt>
                <c:pt idx="9">
                  <c:v>Simulation</c:v>
                </c:pt>
                <c:pt idx="10">
                  <c:v>Strategy</c:v>
                </c:pt>
                <c:pt idx="11">
                  <c:v>Puzzle</c:v>
                </c:pt>
              </c:strCache>
            </c:strRef>
          </c:cat>
          <c:val>
            <c:numRef>
              <c:f>'SalesbyGenre2012-16'!$D$4:$D$16</c:f>
              <c:numCache>
                <c:formatCode>General</c:formatCode>
                <c:ptCount val="12"/>
                <c:pt idx="0">
                  <c:v>51.320000000000043</c:v>
                </c:pt>
                <c:pt idx="1">
                  <c:v>8.7299999999999933</c:v>
                </c:pt>
                <c:pt idx="2">
                  <c:v>7.8399999999999954</c:v>
                </c:pt>
                <c:pt idx="3">
                  <c:v>62.300000000000026</c:v>
                </c:pt>
                <c:pt idx="4">
                  <c:v>12.509999999999984</c:v>
                </c:pt>
                <c:pt idx="5">
                  <c:v>2.4899999999999989</c:v>
                </c:pt>
                <c:pt idx="6">
                  <c:v>8.5799999999999983</c:v>
                </c:pt>
                <c:pt idx="7">
                  <c:v>9.2999999999999954</c:v>
                </c:pt>
                <c:pt idx="8">
                  <c:v>8.0099999999999785</c:v>
                </c:pt>
                <c:pt idx="9">
                  <c:v>10.309999999999992</c:v>
                </c:pt>
                <c:pt idx="10">
                  <c:v>2.6800000000000006</c:v>
                </c:pt>
                <c:pt idx="11">
                  <c:v>2.1400000000000006</c:v>
                </c:pt>
              </c:numCache>
            </c:numRef>
          </c:val>
          <c:extLst>
            <c:ext xmlns:c16="http://schemas.microsoft.com/office/drawing/2014/chart" uri="{C3380CC4-5D6E-409C-BE32-E72D297353CC}">
              <c16:uniqueId val="{00000002-6981-4216-BB90-6C53036E39CB}"/>
            </c:ext>
          </c:extLst>
        </c:ser>
        <c:ser>
          <c:idx val="3"/>
          <c:order val="3"/>
          <c:tx>
            <c:strRef>
              <c:f>'SalesbyGenre2012-16'!$E$3</c:f>
              <c:strCache>
                <c:ptCount val="1"/>
                <c:pt idx="0">
                  <c:v>Sum of Other Sales</c:v>
                </c:pt>
              </c:strCache>
            </c:strRef>
          </c:tx>
          <c:spPr>
            <a:solidFill>
              <a:schemeClr val="accent4"/>
            </a:solidFill>
            <a:ln>
              <a:noFill/>
            </a:ln>
            <a:effectLst/>
          </c:spPr>
          <c:invertIfNegative val="0"/>
          <c:cat>
            <c:strRef>
              <c:f>'SalesbyGenre2012-16'!$A$4:$A$16</c:f>
              <c:strCache>
                <c:ptCount val="12"/>
                <c:pt idx="0">
                  <c:v>Action</c:v>
                </c:pt>
                <c:pt idx="1">
                  <c:v>Shooter</c:v>
                </c:pt>
                <c:pt idx="2">
                  <c:v>Sports</c:v>
                </c:pt>
                <c:pt idx="3">
                  <c:v>Role-Playing</c:v>
                </c:pt>
                <c:pt idx="4">
                  <c:v>Misc</c:v>
                </c:pt>
                <c:pt idx="5">
                  <c:v>Racing</c:v>
                </c:pt>
                <c:pt idx="6">
                  <c:v>Platform</c:v>
                </c:pt>
                <c:pt idx="7">
                  <c:v>Fighting</c:v>
                </c:pt>
                <c:pt idx="8">
                  <c:v>Adventure</c:v>
                </c:pt>
                <c:pt idx="9">
                  <c:v>Simulation</c:v>
                </c:pt>
                <c:pt idx="10">
                  <c:v>Strategy</c:v>
                </c:pt>
                <c:pt idx="11">
                  <c:v>Puzzle</c:v>
                </c:pt>
              </c:strCache>
            </c:strRef>
          </c:cat>
          <c:val>
            <c:numRef>
              <c:f>'SalesbyGenre2012-16'!$E$4:$E$16</c:f>
              <c:numCache>
                <c:formatCode>General</c:formatCode>
                <c:ptCount val="12"/>
                <c:pt idx="0">
                  <c:v>52.150000000000041</c:v>
                </c:pt>
                <c:pt idx="1">
                  <c:v>35.179999999999993</c:v>
                </c:pt>
                <c:pt idx="2">
                  <c:v>22.189999999999991</c:v>
                </c:pt>
                <c:pt idx="3">
                  <c:v>14.229999999999984</c:v>
                </c:pt>
                <c:pt idx="4">
                  <c:v>7.8399999999999963</c:v>
                </c:pt>
                <c:pt idx="5">
                  <c:v>7.0299999999999967</c:v>
                </c:pt>
                <c:pt idx="6">
                  <c:v>5.5399999999999991</c:v>
                </c:pt>
                <c:pt idx="7">
                  <c:v>4.6499999999999968</c:v>
                </c:pt>
                <c:pt idx="8">
                  <c:v>2.8699999999999974</c:v>
                </c:pt>
                <c:pt idx="9">
                  <c:v>2.36</c:v>
                </c:pt>
                <c:pt idx="10">
                  <c:v>1.1300000000000003</c:v>
                </c:pt>
                <c:pt idx="11">
                  <c:v>0.25</c:v>
                </c:pt>
              </c:numCache>
            </c:numRef>
          </c:val>
          <c:extLst>
            <c:ext xmlns:c16="http://schemas.microsoft.com/office/drawing/2014/chart" uri="{C3380CC4-5D6E-409C-BE32-E72D297353CC}">
              <c16:uniqueId val="{00000003-6981-4216-BB90-6C53036E39CB}"/>
            </c:ext>
          </c:extLst>
        </c:ser>
        <c:dLbls>
          <c:showLegendKey val="0"/>
          <c:showVal val="0"/>
          <c:showCatName val="0"/>
          <c:showSerName val="0"/>
          <c:showPercent val="0"/>
          <c:showBubbleSize val="0"/>
        </c:dLbls>
        <c:gapWidth val="150"/>
        <c:axId val="1814053647"/>
        <c:axId val="1814054479"/>
      </c:barChart>
      <c:catAx>
        <c:axId val="18140536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Video Game Genre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054479"/>
        <c:crosses val="autoZero"/>
        <c:auto val="1"/>
        <c:lblAlgn val="ctr"/>
        <c:lblOffset val="100"/>
        <c:noMultiLvlLbl val="0"/>
      </c:catAx>
      <c:valAx>
        <c:axId val="1814054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Million Units Sold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053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[10 Final Project - Data Analysis V2.xlsx]TopPublish.Region2012-16!PivotTable2</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a:t>Top Ten</a:t>
            </a:r>
            <a:r>
              <a:rPr lang="en-GB" baseline="0"/>
              <a:t> Publishers in Each Region between 2012 and 2016</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GB" sz="1000" b="0" i="0" baseline="0">
                <a:effectLst/>
              </a:rPr>
              <a:t>Ordered by Performane in Europe</a:t>
            </a:r>
            <a:endParaRPr lang="en-GB" sz="10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'TopPublish.Region2012-16'!$B$3</c:f>
              <c:strCache>
                <c:ptCount val="1"/>
                <c:pt idx="0">
                  <c:v>Sum of NA Sales</c:v>
                </c:pt>
              </c:strCache>
            </c:strRef>
          </c:tx>
          <c:spPr>
            <a:solidFill>
              <a:schemeClr val="accent1"/>
            </a:solidFill>
            <a:ln>
              <a:noFill/>
            </a:ln>
            <a:effectLst/>
          </c:spPr>
          <c:invertIfNegative val="0"/>
          <c:cat>
            <c:strRef>
              <c:f>'TopPublish.Region2012-16'!$A$4:$A$21</c:f>
              <c:strCache>
                <c:ptCount val="17"/>
                <c:pt idx="0">
                  <c:v>Electronic Arts+</c:v>
                </c:pt>
                <c:pt idx="1">
                  <c:v>Activision+</c:v>
                </c:pt>
                <c:pt idx="2">
                  <c:v>Ubisoft+</c:v>
                </c:pt>
                <c:pt idx="3">
                  <c:v>Nintendo+</c:v>
                </c:pt>
                <c:pt idx="4">
                  <c:v>Take-Two Interactive+</c:v>
                </c:pt>
                <c:pt idx="5">
                  <c:v>Warner Bros. Interactive Entertainment+</c:v>
                </c:pt>
                <c:pt idx="6">
                  <c:v>Sony Computer Entertainment+</c:v>
                </c:pt>
                <c:pt idx="7">
                  <c:v>Microsoft Game Studios+</c:v>
                </c:pt>
                <c:pt idx="8">
                  <c:v>Square Enix+</c:v>
                </c:pt>
                <c:pt idx="9">
                  <c:v>Bethesda Softworks+</c:v>
                </c:pt>
                <c:pt idx="10">
                  <c:v>Namco Bandai Games+</c:v>
                </c:pt>
                <c:pt idx="11">
                  <c:v>Sega+</c:v>
                </c:pt>
                <c:pt idx="12">
                  <c:v>Konami Digital Entertainment+</c:v>
                </c:pt>
                <c:pt idx="13">
                  <c:v>Capcom+</c:v>
                </c:pt>
                <c:pt idx="14">
                  <c:v>Tecmo Koei+</c:v>
                </c:pt>
                <c:pt idx="15">
                  <c:v>Nippon Ichi Software+</c:v>
                </c:pt>
                <c:pt idx="16">
                  <c:v>Level 5+</c:v>
                </c:pt>
              </c:strCache>
            </c:strRef>
          </c:cat>
          <c:val>
            <c:numRef>
              <c:f>'TopPublish.Region2012-16'!$B$4:$B$21</c:f>
              <c:numCache>
                <c:formatCode>General</c:formatCode>
                <c:ptCount val="17"/>
                <c:pt idx="0">
                  <c:v>83.05</c:v>
                </c:pt>
                <c:pt idx="1">
                  <c:v>89.79000000000002</c:v>
                </c:pt>
                <c:pt idx="2">
                  <c:v>56.829999999999991</c:v>
                </c:pt>
                <c:pt idx="3">
                  <c:v>68.260000000000005</c:v>
                </c:pt>
                <c:pt idx="4">
                  <c:v>63.209999999999994</c:v>
                </c:pt>
                <c:pt idx="5">
                  <c:v>36.050000000000011</c:v>
                </c:pt>
                <c:pt idx="6">
                  <c:v>25.390000000000004</c:v>
                </c:pt>
                <c:pt idx="7">
                  <c:v>32.049999999999997</c:v>
                </c:pt>
                <c:pt idx="8">
                  <c:v>14.069999999999997</c:v>
                </c:pt>
                <c:pt idx="9">
                  <c:v>13.780000000000001</c:v>
                </c:pt>
                <c:pt idx="10">
                  <c:v>12.389999999999993</c:v>
                </c:pt>
                <c:pt idx="11">
                  <c:v>4.93</c:v>
                </c:pt>
                <c:pt idx="12">
                  <c:v>6.6100000000000012</c:v>
                </c:pt>
                <c:pt idx="13">
                  <c:v>9.009999999999998</c:v>
                </c:pt>
                <c:pt idx="14">
                  <c:v>2.3000000000000007</c:v>
                </c:pt>
                <c:pt idx="15">
                  <c:v>3.0200000000000005</c:v>
                </c:pt>
                <c:pt idx="16">
                  <c:v>0.2</c:v>
                </c:pt>
              </c:numCache>
            </c:numRef>
          </c:val>
          <c:extLst>
            <c:ext xmlns:c16="http://schemas.microsoft.com/office/drawing/2014/chart" uri="{C3380CC4-5D6E-409C-BE32-E72D297353CC}">
              <c16:uniqueId val="{00000000-6040-4EFC-861F-A4C8D30B432C}"/>
            </c:ext>
          </c:extLst>
        </c:ser>
        <c:ser>
          <c:idx val="1"/>
          <c:order val="1"/>
          <c:tx>
            <c:strRef>
              <c:f>'TopPublish.Region2012-16'!$C$3</c:f>
              <c:strCache>
                <c:ptCount val="1"/>
                <c:pt idx="0">
                  <c:v>Sum of EU Sales</c:v>
                </c:pt>
              </c:strCache>
            </c:strRef>
          </c:tx>
          <c:spPr>
            <a:solidFill>
              <a:schemeClr val="accent2"/>
            </a:solidFill>
            <a:ln>
              <a:noFill/>
            </a:ln>
            <a:effectLst/>
          </c:spPr>
          <c:invertIfNegative val="0"/>
          <c:cat>
            <c:strRef>
              <c:f>'TopPublish.Region2012-16'!$A$4:$A$21</c:f>
              <c:strCache>
                <c:ptCount val="17"/>
                <c:pt idx="0">
                  <c:v>Electronic Arts+</c:v>
                </c:pt>
                <c:pt idx="1">
                  <c:v>Activision+</c:v>
                </c:pt>
                <c:pt idx="2">
                  <c:v>Ubisoft+</c:v>
                </c:pt>
                <c:pt idx="3">
                  <c:v>Nintendo+</c:v>
                </c:pt>
                <c:pt idx="4">
                  <c:v>Take-Two Interactive+</c:v>
                </c:pt>
                <c:pt idx="5">
                  <c:v>Warner Bros. Interactive Entertainment+</c:v>
                </c:pt>
                <c:pt idx="6">
                  <c:v>Sony Computer Entertainment+</c:v>
                </c:pt>
                <c:pt idx="7">
                  <c:v>Microsoft Game Studios+</c:v>
                </c:pt>
                <c:pt idx="8">
                  <c:v>Square Enix+</c:v>
                </c:pt>
                <c:pt idx="9">
                  <c:v>Bethesda Softworks+</c:v>
                </c:pt>
                <c:pt idx="10">
                  <c:v>Namco Bandai Games+</c:v>
                </c:pt>
                <c:pt idx="11">
                  <c:v>Sega+</c:v>
                </c:pt>
                <c:pt idx="12">
                  <c:v>Konami Digital Entertainment+</c:v>
                </c:pt>
                <c:pt idx="13">
                  <c:v>Capcom+</c:v>
                </c:pt>
                <c:pt idx="14">
                  <c:v>Tecmo Koei+</c:v>
                </c:pt>
                <c:pt idx="15">
                  <c:v>Nippon Ichi Software+</c:v>
                </c:pt>
                <c:pt idx="16">
                  <c:v>Level 5+</c:v>
                </c:pt>
              </c:strCache>
            </c:strRef>
          </c:cat>
          <c:val>
            <c:numRef>
              <c:f>'TopPublish.Region2012-16'!$C$4:$C$21</c:f>
              <c:numCache>
                <c:formatCode>General</c:formatCode>
                <c:ptCount val="17"/>
                <c:pt idx="0">
                  <c:v>93.689999999999984</c:v>
                </c:pt>
                <c:pt idx="1">
                  <c:v>65.429999999999993</c:v>
                </c:pt>
                <c:pt idx="2">
                  <c:v>54.129999999999974</c:v>
                </c:pt>
                <c:pt idx="3">
                  <c:v>49.97</c:v>
                </c:pt>
                <c:pt idx="4">
                  <c:v>40.859999999999985</c:v>
                </c:pt>
                <c:pt idx="5">
                  <c:v>31.500000000000011</c:v>
                </c:pt>
                <c:pt idx="6">
                  <c:v>23.740000000000002</c:v>
                </c:pt>
                <c:pt idx="7">
                  <c:v>16.549999999999997</c:v>
                </c:pt>
                <c:pt idx="8">
                  <c:v>15.170000000000002</c:v>
                </c:pt>
                <c:pt idx="9">
                  <c:v>13.62</c:v>
                </c:pt>
                <c:pt idx="10">
                  <c:v>12.779999999999989</c:v>
                </c:pt>
                <c:pt idx="11">
                  <c:v>9.1399999999999988</c:v>
                </c:pt>
                <c:pt idx="12">
                  <c:v>8.7199999999999989</c:v>
                </c:pt>
                <c:pt idx="13">
                  <c:v>6.7299999999999995</c:v>
                </c:pt>
                <c:pt idx="14">
                  <c:v>1.8300000000000007</c:v>
                </c:pt>
                <c:pt idx="15">
                  <c:v>1.2300000000000004</c:v>
                </c:pt>
                <c:pt idx="16">
                  <c:v>0.27</c:v>
                </c:pt>
              </c:numCache>
            </c:numRef>
          </c:val>
          <c:extLst>
            <c:ext xmlns:c16="http://schemas.microsoft.com/office/drawing/2014/chart" uri="{C3380CC4-5D6E-409C-BE32-E72D297353CC}">
              <c16:uniqueId val="{00000001-6040-4EFC-861F-A4C8D30B432C}"/>
            </c:ext>
          </c:extLst>
        </c:ser>
        <c:ser>
          <c:idx val="2"/>
          <c:order val="2"/>
          <c:tx>
            <c:strRef>
              <c:f>'TopPublish.Region2012-16'!$D$3</c:f>
              <c:strCache>
                <c:ptCount val="1"/>
                <c:pt idx="0">
                  <c:v>Sum of JP Sales</c:v>
                </c:pt>
              </c:strCache>
            </c:strRef>
          </c:tx>
          <c:spPr>
            <a:solidFill>
              <a:schemeClr val="accent3"/>
            </a:solidFill>
            <a:ln>
              <a:noFill/>
            </a:ln>
            <a:effectLst/>
          </c:spPr>
          <c:invertIfNegative val="0"/>
          <c:cat>
            <c:strRef>
              <c:f>'TopPublish.Region2012-16'!$A$4:$A$21</c:f>
              <c:strCache>
                <c:ptCount val="17"/>
                <c:pt idx="0">
                  <c:v>Electronic Arts+</c:v>
                </c:pt>
                <c:pt idx="1">
                  <c:v>Activision+</c:v>
                </c:pt>
                <c:pt idx="2">
                  <c:v>Ubisoft+</c:v>
                </c:pt>
                <c:pt idx="3">
                  <c:v>Nintendo+</c:v>
                </c:pt>
                <c:pt idx="4">
                  <c:v>Take-Two Interactive+</c:v>
                </c:pt>
                <c:pt idx="5">
                  <c:v>Warner Bros. Interactive Entertainment+</c:v>
                </c:pt>
                <c:pt idx="6">
                  <c:v>Sony Computer Entertainment+</c:v>
                </c:pt>
                <c:pt idx="7">
                  <c:v>Microsoft Game Studios+</c:v>
                </c:pt>
                <c:pt idx="8">
                  <c:v>Square Enix+</c:v>
                </c:pt>
                <c:pt idx="9">
                  <c:v>Bethesda Softworks+</c:v>
                </c:pt>
                <c:pt idx="10">
                  <c:v>Namco Bandai Games+</c:v>
                </c:pt>
                <c:pt idx="11">
                  <c:v>Sega+</c:v>
                </c:pt>
                <c:pt idx="12">
                  <c:v>Konami Digital Entertainment+</c:v>
                </c:pt>
                <c:pt idx="13">
                  <c:v>Capcom+</c:v>
                </c:pt>
                <c:pt idx="14">
                  <c:v>Tecmo Koei+</c:v>
                </c:pt>
                <c:pt idx="15">
                  <c:v>Nippon Ichi Software+</c:v>
                </c:pt>
                <c:pt idx="16">
                  <c:v>Level 5+</c:v>
                </c:pt>
              </c:strCache>
            </c:strRef>
          </c:cat>
          <c:val>
            <c:numRef>
              <c:f>'TopPublish.Region2012-16'!$D$4:$D$21</c:f>
              <c:numCache>
                <c:formatCode>General</c:formatCode>
                <c:ptCount val="17"/>
                <c:pt idx="0">
                  <c:v>2.4499999999999993</c:v>
                </c:pt>
                <c:pt idx="1">
                  <c:v>2.7899999999999996</c:v>
                </c:pt>
                <c:pt idx="2">
                  <c:v>1.9700000000000006</c:v>
                </c:pt>
                <c:pt idx="3">
                  <c:v>58.809999999999988</c:v>
                </c:pt>
                <c:pt idx="4">
                  <c:v>2.09</c:v>
                </c:pt>
                <c:pt idx="5">
                  <c:v>0.81000000000000016</c:v>
                </c:pt>
                <c:pt idx="6">
                  <c:v>3.11</c:v>
                </c:pt>
                <c:pt idx="7">
                  <c:v>0.47000000000000003</c:v>
                </c:pt>
                <c:pt idx="8">
                  <c:v>12.680000000000005</c:v>
                </c:pt>
                <c:pt idx="9">
                  <c:v>0.65000000000000013</c:v>
                </c:pt>
                <c:pt idx="10">
                  <c:v>28.3</c:v>
                </c:pt>
                <c:pt idx="11">
                  <c:v>6.1799999999999971</c:v>
                </c:pt>
                <c:pt idx="12">
                  <c:v>8.4699999999999989</c:v>
                </c:pt>
                <c:pt idx="13">
                  <c:v>12.239999999999998</c:v>
                </c:pt>
                <c:pt idx="14">
                  <c:v>6.4699999999999971</c:v>
                </c:pt>
                <c:pt idx="15">
                  <c:v>3.649999999999999</c:v>
                </c:pt>
                <c:pt idx="16">
                  <c:v>8.56</c:v>
                </c:pt>
              </c:numCache>
            </c:numRef>
          </c:val>
          <c:extLst>
            <c:ext xmlns:c16="http://schemas.microsoft.com/office/drawing/2014/chart" uri="{C3380CC4-5D6E-409C-BE32-E72D297353CC}">
              <c16:uniqueId val="{00000002-6040-4EFC-861F-A4C8D30B432C}"/>
            </c:ext>
          </c:extLst>
        </c:ser>
        <c:ser>
          <c:idx val="3"/>
          <c:order val="3"/>
          <c:tx>
            <c:strRef>
              <c:f>'TopPublish.Region2012-16'!$E$3</c:f>
              <c:strCache>
                <c:ptCount val="1"/>
                <c:pt idx="0">
                  <c:v>Sum of Other Sales</c:v>
                </c:pt>
              </c:strCache>
            </c:strRef>
          </c:tx>
          <c:spPr>
            <a:solidFill>
              <a:schemeClr val="accent4"/>
            </a:solidFill>
            <a:ln>
              <a:noFill/>
            </a:ln>
            <a:effectLst/>
          </c:spPr>
          <c:invertIfNegative val="0"/>
          <c:cat>
            <c:strRef>
              <c:f>'TopPublish.Region2012-16'!$A$4:$A$21</c:f>
              <c:strCache>
                <c:ptCount val="17"/>
                <c:pt idx="0">
                  <c:v>Electronic Arts+</c:v>
                </c:pt>
                <c:pt idx="1">
                  <c:v>Activision+</c:v>
                </c:pt>
                <c:pt idx="2">
                  <c:v>Ubisoft+</c:v>
                </c:pt>
                <c:pt idx="3">
                  <c:v>Nintendo+</c:v>
                </c:pt>
                <c:pt idx="4">
                  <c:v>Take-Two Interactive+</c:v>
                </c:pt>
                <c:pt idx="5">
                  <c:v>Warner Bros. Interactive Entertainment+</c:v>
                </c:pt>
                <c:pt idx="6">
                  <c:v>Sony Computer Entertainment+</c:v>
                </c:pt>
                <c:pt idx="7">
                  <c:v>Microsoft Game Studios+</c:v>
                </c:pt>
                <c:pt idx="8">
                  <c:v>Square Enix+</c:v>
                </c:pt>
                <c:pt idx="9">
                  <c:v>Bethesda Softworks+</c:v>
                </c:pt>
                <c:pt idx="10">
                  <c:v>Namco Bandai Games+</c:v>
                </c:pt>
                <c:pt idx="11">
                  <c:v>Sega+</c:v>
                </c:pt>
                <c:pt idx="12">
                  <c:v>Konami Digital Entertainment+</c:v>
                </c:pt>
                <c:pt idx="13">
                  <c:v>Capcom+</c:v>
                </c:pt>
                <c:pt idx="14">
                  <c:v>Tecmo Koei+</c:v>
                </c:pt>
                <c:pt idx="15">
                  <c:v>Nippon Ichi Software+</c:v>
                </c:pt>
                <c:pt idx="16">
                  <c:v>Level 5+</c:v>
                </c:pt>
              </c:strCache>
            </c:strRef>
          </c:cat>
          <c:val>
            <c:numRef>
              <c:f>'TopPublish.Region2012-16'!$E$4:$E$21</c:f>
              <c:numCache>
                <c:formatCode>General</c:formatCode>
                <c:ptCount val="17"/>
                <c:pt idx="0">
                  <c:v>28.090000000000003</c:v>
                </c:pt>
                <c:pt idx="1">
                  <c:v>22.270000000000003</c:v>
                </c:pt>
                <c:pt idx="2">
                  <c:v>16.229999999999993</c:v>
                </c:pt>
                <c:pt idx="3">
                  <c:v>11.449999999999989</c:v>
                </c:pt>
                <c:pt idx="4">
                  <c:v>16.03</c:v>
                </c:pt>
                <c:pt idx="5">
                  <c:v>9.9999999999999911</c:v>
                </c:pt>
                <c:pt idx="6">
                  <c:v>9.7899999999999974</c:v>
                </c:pt>
                <c:pt idx="7">
                  <c:v>4.3699999999999992</c:v>
                </c:pt>
                <c:pt idx="8">
                  <c:v>5.0199999999999969</c:v>
                </c:pt>
                <c:pt idx="9">
                  <c:v>4.1800000000000006</c:v>
                </c:pt>
                <c:pt idx="10">
                  <c:v>4.0599999999999978</c:v>
                </c:pt>
                <c:pt idx="11">
                  <c:v>2.2300000000000004</c:v>
                </c:pt>
                <c:pt idx="12">
                  <c:v>2.6099999999999994</c:v>
                </c:pt>
                <c:pt idx="13">
                  <c:v>2.4000000000000004</c:v>
                </c:pt>
                <c:pt idx="14">
                  <c:v>0.78000000000000025</c:v>
                </c:pt>
                <c:pt idx="15">
                  <c:v>0.92000000000000037</c:v>
                </c:pt>
                <c:pt idx="16">
                  <c:v>0.04</c:v>
                </c:pt>
              </c:numCache>
            </c:numRef>
          </c:val>
          <c:extLst>
            <c:ext xmlns:c16="http://schemas.microsoft.com/office/drawing/2014/chart" uri="{C3380CC4-5D6E-409C-BE32-E72D297353CC}">
              <c16:uniqueId val="{00000003-6040-4EFC-861F-A4C8D30B432C}"/>
            </c:ext>
          </c:extLst>
        </c:ser>
        <c:dLbls>
          <c:showLegendKey val="0"/>
          <c:showVal val="0"/>
          <c:showCatName val="0"/>
          <c:showSerName val="0"/>
          <c:showPercent val="0"/>
          <c:showBubbleSize val="0"/>
        </c:dLbls>
        <c:gapWidth val="219"/>
        <c:overlap val="-27"/>
        <c:axId val="1888136015"/>
        <c:axId val="1888130607"/>
      </c:barChart>
      <c:catAx>
        <c:axId val="1888136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130607"/>
        <c:crosses val="autoZero"/>
        <c:auto val="1"/>
        <c:lblAlgn val="ctr"/>
        <c:lblOffset val="100"/>
        <c:noMultiLvlLbl val="0"/>
      </c:catAx>
      <c:valAx>
        <c:axId val="188813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Million Units Sold</a:t>
                </a:r>
              </a:p>
            </c:rich>
          </c:tx>
          <c:layout>
            <c:manualLayout>
              <c:xMode val="edge"/>
              <c:yMode val="edge"/>
              <c:x val="1.5113350125944584E-2"/>
              <c:y val="0.163658299361515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1360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0.51619</cdr:x>
      <cdr:y>0.15521</cdr:y>
    </cdr:from>
    <cdr:to>
      <cdr:x>0.51619</cdr:x>
      <cdr:y>1</cdr:y>
    </cdr:to>
    <cdr:cxnSp macro="">
      <cdr:nvCxnSpPr>
        <cdr:cNvPr id="3" name="Straight Connector 2">
          <a:extLst xmlns:a="http://schemas.openxmlformats.org/drawingml/2006/main">
            <a:ext uri="{FF2B5EF4-FFF2-40B4-BE49-F238E27FC236}">
              <a16:creationId xmlns:a16="http://schemas.microsoft.com/office/drawing/2014/main" id="{1FAA5231-7D57-495D-9A7F-7F9CD8D6FFA0}"/>
            </a:ext>
          </a:extLst>
        </cdr:cNvPr>
        <cdr:cNvCxnSpPr/>
      </cdr:nvCxnSpPr>
      <cdr:spPr>
        <a:xfrm xmlns:a="http://schemas.openxmlformats.org/drawingml/2006/main">
          <a:off x="3219450" y="601980"/>
          <a:ext cx="0" cy="3276600"/>
        </a:xfrm>
        <a:prstGeom xmlns:a="http://schemas.openxmlformats.org/drawingml/2006/main" prst="line">
          <a:avLst/>
        </a:prstGeom>
        <a:ln xmlns:a="http://schemas.openxmlformats.org/drawingml/2006/main" w="9525">
          <a:prstDash val="lg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49EDB-2BAC-416C-A4D4-4CB38F221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Dilley</dc:creator>
  <cp:keywords/>
  <dc:description/>
  <cp:lastModifiedBy>Hannah Dilley</cp:lastModifiedBy>
  <cp:revision>74</cp:revision>
  <cp:lastPrinted>2021-02-24T11:06:00Z</cp:lastPrinted>
  <dcterms:created xsi:type="dcterms:W3CDTF">2021-02-23T18:17:00Z</dcterms:created>
  <dcterms:modified xsi:type="dcterms:W3CDTF">2021-08-19T08:40:00Z</dcterms:modified>
</cp:coreProperties>
</file>