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Evaluating the Attractiveness of a Country for Business Investment using Worlds Bank Indicators</w:t>
      </w:r>
    </w:p>
    <w:p w:rsidR="00000000" w:rsidDel="00000000" w:rsidP="00000000" w:rsidRDefault="00000000" w:rsidRPr="00000000" w14:paraId="00000003">
      <w:pPr>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Style w:val="Heading4"/>
        <w:shd w:fill="ffffff" w:val="clear"/>
        <w:spacing w:line="240" w:lineRule="auto"/>
        <w:rPr>
          <w:rFonts w:ascii="Times New Roman" w:cs="Times New Roman" w:eastAsia="Times New Roman" w:hAnsi="Times New Roman"/>
          <w:b w:val="1"/>
          <w:color w:val="000000"/>
        </w:rPr>
      </w:pPr>
      <w:bookmarkStart w:colFirst="0" w:colLast="0" w:name="_oo4r4grr9zuz" w:id="0"/>
      <w:bookmarkEnd w:id="0"/>
      <w:r w:rsidDel="00000000" w:rsidR="00000000" w:rsidRPr="00000000">
        <w:rPr>
          <w:rFonts w:ascii="Times New Roman" w:cs="Times New Roman" w:eastAsia="Times New Roman" w:hAnsi="Times New Roman"/>
          <w:b w:val="1"/>
          <w:color w:val="000000"/>
          <w:rtl w:val="0"/>
        </w:rPr>
        <w:t xml:space="preserve">Evaluation of a country’s attractiveness in Manufacturing</w:t>
      </w:r>
    </w:p>
    <w:p w:rsidR="00000000" w:rsidDel="00000000" w:rsidP="00000000" w:rsidRDefault="00000000" w:rsidRPr="00000000" w14:paraId="00000005">
      <w:pP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Factors for attractiveness in Manufacturing </w:t>
      </w:r>
      <w:r w:rsidDel="00000000" w:rsidR="00000000" w:rsidRPr="00000000">
        <w:rPr>
          <w:rtl w:val="0"/>
        </w:rPr>
      </w:r>
    </w:p>
    <w:p w:rsidR="00000000" w:rsidDel="00000000" w:rsidP="00000000" w:rsidRDefault="00000000" w:rsidRPr="00000000" w14:paraId="00000007">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5060.0" w:type="dxa"/>
        <w:jc w:val="left"/>
        <w:tblInd w:w="0.0" w:type="dxa"/>
        <w:tblLayout w:type="fixed"/>
        <w:tblLook w:val="0400"/>
      </w:tblPr>
      <w:tblGrid>
        <w:gridCol w:w="525"/>
        <w:gridCol w:w="2310"/>
        <w:gridCol w:w="4545"/>
        <w:gridCol w:w="1980"/>
        <w:gridCol w:w="5700"/>
        <w:tblGridChange w:id="0">
          <w:tblGrid>
            <w:gridCol w:w="525"/>
            <w:gridCol w:w="2310"/>
            <w:gridCol w:w="4545"/>
            <w:gridCol w:w="1980"/>
            <w:gridCol w:w="5700"/>
          </w:tblGrid>
        </w:tblGridChange>
      </w:tblGrid>
      <w:tr>
        <w:trPr>
          <w:cantSplit w:val="0"/>
          <w:trHeight w:val="270" w:hRule="atLeast"/>
          <w:tblHeader w:val="0"/>
        </w:trPr>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08">
            <w:pPr>
              <w:spacing w:line="240" w:lineRule="auto"/>
              <w:jc w:val="center"/>
              <w:rPr>
                <w:rFonts w:ascii="Times New Roman" w:cs="Times New Roman" w:eastAsia="Times New Roman" w:hAnsi="Times New Roman"/>
                <w:b w:val="1"/>
                <w:sz w:val="20"/>
                <w:szCs w:val="20"/>
              </w:rPr>
            </w:pPr>
            <w:bookmarkStart w:colFirst="0" w:colLast="0" w:name="_gjdgxs" w:id="1"/>
            <w:bookmarkEnd w:id="1"/>
            <w:r w:rsidDel="00000000" w:rsidR="00000000" w:rsidRPr="00000000">
              <w:rPr>
                <w:rFonts w:ascii="Times New Roman" w:cs="Times New Roman" w:eastAsia="Times New Roman" w:hAnsi="Times New Roman"/>
                <w:b w:val="1"/>
                <w:sz w:val="20"/>
                <w:szCs w:val="20"/>
                <w:rtl w:val="0"/>
              </w:rPr>
              <w:t xml:space="preserve">Sl. No</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0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Index</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0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Short Description</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0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0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Literature Support Notes</w:t>
            </w:r>
          </w:p>
        </w:tc>
      </w:tr>
      <w:tr>
        <w:trPr>
          <w:cantSplit w:val="0"/>
          <w:trHeight w:val="43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0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Air_freight_million_ton_km</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 freight in million ton-km measured in metric tons times kilometer traveled.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Million ton-km</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Air transportation demand forecasts in emerging market economies- a case study of the Kyrgyz Republic in the former Soviet Union</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demonstrated that air traffic volumes can be linked to economic data at a sectoral level. It is based on the fact that passenger increase can be found erratically correlated to the aggregated GDP sector.</w:t>
            </w:r>
          </w:p>
        </w:tc>
      </w:tr>
      <w:tr>
        <w:trPr>
          <w:cantSplit w:val="0"/>
          <w:trHeight w:val="71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Container_port_traffic_TEU</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Container port traffic (TEU:20-foot equivalent units) is the shipment of containers from port; inbound and outbound.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containers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Using artificial neural networks to predict container flows between the major ports of Asia</w:t>
              </w:r>
            </w:hyperlink>
            <w:r w:rsidDel="00000000" w:rsidR="00000000" w:rsidRPr="00000000">
              <w:rPr>
                <w:rFonts w:ascii="Times New Roman" w:cs="Times New Roman" w:eastAsia="Times New Roman" w:hAnsi="Times New Roman"/>
                <w:sz w:val="20"/>
                <w:szCs w:val="20"/>
                <w:rtl w:val="0"/>
              </w:rPr>
              <w:t xml:space="preserve"> used GDP as a predictor to model container flows.</w:t>
            </w:r>
          </w:p>
        </w:tc>
      </w:tr>
      <w:tr>
        <w:trPr>
          <w:cantSplit w:val="0"/>
          <w:trHeight w:val="794"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Railways_goods_trans_million_ton-km</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Goods transport by railways in million tons measured in metric tons times kilometer traveled.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Million ton-km</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Research on Railway Freight Volume Prediction Based on Neural Network</w:t>
              </w:r>
            </w:hyperlink>
            <w:r w:rsidDel="00000000" w:rsidR="00000000" w:rsidRPr="00000000">
              <w:rPr>
                <w:rFonts w:ascii="Times New Roman" w:cs="Times New Roman" w:eastAsia="Times New Roman" w:hAnsi="Times New Roman"/>
                <w:sz w:val="20"/>
                <w:szCs w:val="20"/>
                <w:rtl w:val="0"/>
              </w:rPr>
              <w:t xml:space="preserve"> claims that railway freight volume is an important indicator of the national economy, and also found 0.707 correlation with manufacturing value added in China from 1978 to 2018.</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Logistic_performance</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the quality of the logistic related infrastructure (1 being low and 5 being high). In this index, trade, and transport related infrastructure are evaluated - efficiency of customs clearance process, quality of trade- and transport-related infrastructure, ease of arranging competitively priced shipments, quality of logistics services, ability to track and trace consignments, and frequency with which shipments reach the consignee within the scheduled time.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 index (1=lowest to 5=highest)</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The mediator effect was measured by using hierarchical regression analyses</w:t>
              </w:r>
            </w:hyperlink>
            <w:r w:rsidDel="00000000" w:rsidR="00000000" w:rsidRPr="00000000">
              <w:rPr>
                <w:rFonts w:ascii="Times New Roman" w:cs="Times New Roman" w:eastAsia="Times New Roman" w:hAnsi="Times New Roman"/>
                <w:sz w:val="20"/>
                <w:szCs w:val="20"/>
                <w:rtl w:val="0"/>
              </w:rPr>
              <w:t xml:space="preserve"> studied the mediator effect of logistic performance index (LPI) on the relation between Global Competitiveness Index (GCI) and Gross Domestic Product (GDP), measured by using hierarchical regression analyses.</w:t>
            </w:r>
          </w:p>
        </w:tc>
      </w:tr>
      <w:tr>
        <w:trPr>
          <w:cantSplit w:val="0"/>
          <w:trHeight w:val="1034"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Industry_value_added_current_USD</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output in manufacturing, industry, construction, power, water, mining etc. in USD. It is the net output of a sector after adding up all outputs minus intermediate inputs and assets depreciation.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Manufacturing refers to industries belonging to International Standard Industrial Classification(ISIC) divisions 15-37. And industry corresponds to ISIC divisions 05-43 and includes manufacturing (ISIC divisions 10-33). Details about ISIC: </w:t>
            </w:r>
            <w:hyperlink r:id="rId16">
              <w:r w:rsidDel="00000000" w:rsidR="00000000" w:rsidRPr="00000000">
                <w:rPr>
                  <w:rFonts w:ascii="Times New Roman" w:cs="Times New Roman" w:eastAsia="Times New Roman" w:hAnsi="Times New Roman"/>
                  <w:color w:val="1155cc"/>
                  <w:sz w:val="20"/>
                  <w:szCs w:val="20"/>
                  <w:u w:val="single"/>
                  <w:rtl w:val="0"/>
                </w:rPr>
                <w:t xml:space="preserve">International Standard Industrial Classification of All Economic Activities (ISIC), Rev.4</w:t>
              </w:r>
            </w:hyperlink>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GDP_per_capita_current_USD</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the GDP divided by the total midyear population of a particular country.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Manufacturing in Structural Change in Africa</w:t>
              </w:r>
            </w:hyperlink>
            <w:r w:rsidDel="00000000" w:rsidR="00000000" w:rsidRPr="00000000">
              <w:rPr>
                <w:rFonts w:ascii="Times New Roman" w:cs="Times New Roman" w:eastAsia="Times New Roman" w:hAnsi="Times New Roman"/>
                <w:sz w:val="20"/>
                <w:szCs w:val="20"/>
                <w:rtl w:val="0"/>
              </w:rPr>
              <w:t xml:space="preserve">: there is a weak semblance between the shares of manufacturing output in GDP and GDP per capita. And the researchers predicted manufacturing shares (constant prices) as a function of GDP per capita (in 2011 dollars).</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color w:val="1155cc"/>
                  <w:sz w:val="20"/>
                  <w:szCs w:val="20"/>
                  <w:u w:val="single"/>
                  <w:rtl w:val="0"/>
                </w:rPr>
                <w:t xml:space="preserve">Final_consumption</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consumption or total consumption expenditure is the expenditure for household final consumption plus the government final consumption.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hyperlink r:id="rId20">
              <w:r w:rsidDel="00000000" w:rsidR="00000000" w:rsidRPr="00000000">
                <w:rPr>
                  <w:rFonts w:ascii="Times New Roman" w:cs="Times New Roman" w:eastAsia="Times New Roman" w:hAnsi="Times New Roman"/>
                  <w:color w:val="1155cc"/>
                  <w:sz w:val="20"/>
                  <w:szCs w:val="20"/>
                  <w:u w:val="single"/>
                  <w:rtl w:val="0"/>
                </w:rPr>
                <w:t xml:space="preserve">Analysis of the Correlation between GDP and the Final Consumption</w:t>
              </w:r>
            </w:hyperlink>
            <w:r w:rsidDel="00000000" w:rsidR="00000000" w:rsidRPr="00000000">
              <w:rPr>
                <w:rFonts w:ascii="Times New Roman" w:cs="Times New Roman" w:eastAsia="Times New Roman" w:hAnsi="Times New Roman"/>
                <w:sz w:val="20"/>
                <w:szCs w:val="20"/>
                <w:rtl w:val="0"/>
              </w:rPr>
              <w:t xml:space="preserve"> examined the </w:t>
            </w:r>
            <w:r w:rsidDel="00000000" w:rsidR="00000000" w:rsidRPr="00000000">
              <w:rPr>
                <w:rFonts w:ascii="Times New Roman" w:cs="Times New Roman" w:eastAsia="Times New Roman" w:hAnsi="Times New Roman"/>
                <w:sz w:val="20"/>
                <w:szCs w:val="20"/>
                <w:rtl w:val="0"/>
              </w:rPr>
              <w:t xml:space="preserve">evolution of the GDP value and the value of final consumption, in Romania, between 1990 and 2009. Researchers found that an increase by one monetary unit of the final consumption will lead to an increase by 1.21 monetary units of the GDP value. And they draw the conclusion that Romania’s GDP is influenced, mainly, by the evolution of public and private consumption.</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hyperlink r:id="rId21">
              <w:r w:rsidDel="00000000" w:rsidR="00000000" w:rsidRPr="00000000">
                <w:rPr>
                  <w:rFonts w:ascii="Times New Roman" w:cs="Times New Roman" w:eastAsia="Times New Roman" w:hAnsi="Times New Roman"/>
                  <w:color w:val="1155cc"/>
                  <w:sz w:val="20"/>
                  <w:szCs w:val="20"/>
                  <w:u w:val="single"/>
                  <w:rtl w:val="0"/>
                </w:rPr>
                <w:t xml:space="preserve">Access_finance</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to finance is the percentage of firms that use banks to finance investments.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firms using bank</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hyperlink r:id="rId22">
              <w:r w:rsidDel="00000000" w:rsidR="00000000" w:rsidRPr="00000000">
                <w:rPr>
                  <w:rFonts w:ascii="Times New Roman" w:cs="Times New Roman" w:eastAsia="Times New Roman" w:hAnsi="Times New Roman"/>
                  <w:color w:val="1155cc"/>
                  <w:sz w:val="20"/>
                  <w:szCs w:val="20"/>
                  <w:u w:val="single"/>
                  <w:rtl w:val="0"/>
                </w:rPr>
                <w:t xml:space="preserve">Informality and Access to Finance- Evidence from India</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gauged the effect of </w:t>
            </w:r>
            <w:r w:rsidDel="00000000" w:rsidR="00000000" w:rsidRPr="00000000">
              <w:rPr>
                <w:rFonts w:ascii="Times New Roman" w:cs="Times New Roman" w:eastAsia="Times New Roman" w:hAnsi="Times New Roman"/>
                <w:sz w:val="20"/>
                <w:szCs w:val="20"/>
                <w:rtl w:val="0"/>
              </w:rPr>
              <w:t xml:space="preserve">financial accessibility</w:t>
            </w:r>
            <w:r w:rsidDel="00000000" w:rsidR="00000000" w:rsidRPr="00000000">
              <w:rPr>
                <w:rFonts w:ascii="Times New Roman" w:cs="Times New Roman" w:eastAsia="Times New Roman" w:hAnsi="Times New Roman"/>
                <w:sz w:val="20"/>
                <w:szCs w:val="20"/>
                <w:rtl w:val="0"/>
              </w:rPr>
              <w:t xml:space="preserve"> from the Indian manufacturing sector. It can reduce the entry barrier to the formal sector and increase productivity of formal firms.</w:t>
            </w:r>
          </w:p>
        </w:tc>
      </w:tr>
      <w:tr>
        <w:trPr>
          <w:cantSplit w:val="0"/>
          <w:trHeight w:val="557"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hyperlink r:id="rId23">
              <w:r w:rsidDel="00000000" w:rsidR="00000000" w:rsidRPr="00000000">
                <w:rPr>
                  <w:rFonts w:ascii="Times New Roman" w:cs="Times New Roman" w:eastAsia="Times New Roman" w:hAnsi="Times New Roman"/>
                  <w:color w:val="1155cc"/>
                  <w:sz w:val="20"/>
                  <w:szCs w:val="20"/>
                  <w:u w:val="single"/>
                  <w:rtl w:val="0"/>
                </w:rPr>
                <w:t xml:space="preserve">New_business_density</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new limited liability companies registered in a year per 1000 people (ages between 15-64).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business entity per 1000 people per year</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the world bank details for this data, entrepreneurship is a critical part of economic development and growth and important for the continued dynamism of the modern economy. This variable helps us understand the trends in new firm creation across regions and income groups.</w:t>
            </w:r>
          </w:p>
        </w:tc>
      </w:tr>
      <w:tr>
        <w:trPr>
          <w:cantSplit w:val="0"/>
          <w:trHeight w:val="54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B">
            <w:pPr>
              <w:spacing w:line="2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C">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 Variable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57"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hyperlink r:id="rId24">
              <w:r w:rsidDel="00000000" w:rsidR="00000000" w:rsidRPr="00000000">
                <w:rPr>
                  <w:rFonts w:ascii="Times New Roman" w:cs="Times New Roman" w:eastAsia="Times New Roman" w:hAnsi="Times New Roman"/>
                  <w:color w:val="1155cc"/>
                  <w:sz w:val="20"/>
                  <w:szCs w:val="20"/>
                  <w:u w:val="single"/>
                  <w:rtl w:val="0"/>
                </w:rPr>
                <w:t xml:space="preserve">Manufacturing_value added_%_of_GDP</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Manufacturing value added is the net output of a sector after adding up all outputs minus intermediate inputs. It also ignores the depreciation of goods. It is calculated without making deductions for depreciation of fabricated assets or depletion and degradation of natural resources. The origin of value added is determined by the International Standard Industrial Classification (ISIC), revision 3. Note: For VAB countries, gross value added at factor cost is used as the denominator.</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GDP in 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6">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f" w:val="clea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4"/>
        <w:rPr>
          <w:rFonts w:ascii="Times New Roman" w:cs="Times New Roman" w:eastAsia="Times New Roman" w:hAnsi="Times New Roman"/>
          <w:sz w:val="24"/>
          <w:szCs w:val="24"/>
        </w:rPr>
      </w:pPr>
      <w:bookmarkStart w:colFirst="0" w:colLast="0" w:name="_p470c6plyaht" w:id="2"/>
      <w:bookmarkEnd w:id="2"/>
      <w:r w:rsidDel="00000000" w:rsidR="00000000" w:rsidRPr="00000000">
        <w:rPr>
          <w:rtl w:val="0"/>
        </w:rPr>
        <w:t xml:space="preserve">Evaluation of a country’s attractiveness in Service</w:t>
      </w:r>
      <w:r w:rsidDel="00000000" w:rsidR="00000000" w:rsidRPr="00000000">
        <w:rPr>
          <w:rtl w:val="0"/>
        </w:rPr>
      </w:r>
    </w:p>
    <w:p w:rsidR="00000000" w:rsidDel="00000000" w:rsidP="00000000" w:rsidRDefault="00000000" w:rsidRPr="00000000" w14:paraId="0000004A">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Factors for attractiveness in Service</w:t>
      </w:r>
    </w:p>
    <w:p w:rsidR="00000000" w:rsidDel="00000000" w:rsidP="00000000" w:rsidRDefault="00000000" w:rsidRPr="00000000" w14:paraId="0000004C">
      <w:pPr>
        <w:shd w:fill="ffffff" w:val="clea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15150.0" w:type="dxa"/>
        <w:jc w:val="left"/>
        <w:tblInd w:w="0.0" w:type="dxa"/>
        <w:tblLayout w:type="fixed"/>
        <w:tblLook w:val="0400"/>
      </w:tblPr>
      <w:tblGrid>
        <w:gridCol w:w="525"/>
        <w:gridCol w:w="2520"/>
        <w:gridCol w:w="4650"/>
        <w:gridCol w:w="1890"/>
        <w:gridCol w:w="5565"/>
        <w:tblGridChange w:id="0">
          <w:tblGrid>
            <w:gridCol w:w="525"/>
            <w:gridCol w:w="2520"/>
            <w:gridCol w:w="4650"/>
            <w:gridCol w:w="1890"/>
            <w:gridCol w:w="5565"/>
          </w:tblGrid>
        </w:tblGridChange>
      </w:tblGrid>
      <w:tr>
        <w:trPr>
          <w:cantSplit w:val="0"/>
          <w:trHeight w:val="270" w:hRule="atLeast"/>
          <w:tblHeader w:val="0"/>
        </w:trPr>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4E">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Sl. No</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4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Index</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5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Short Description</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5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05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Literature Support Notes</w:t>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hyperlink r:id="rId25">
              <w:r w:rsidDel="00000000" w:rsidR="00000000" w:rsidRPr="00000000">
                <w:rPr>
                  <w:rFonts w:ascii="Times New Roman" w:cs="Times New Roman" w:eastAsia="Times New Roman" w:hAnsi="Times New Roman"/>
                  <w:color w:val="1155cc"/>
                  <w:sz w:val="20"/>
                  <w:szCs w:val="20"/>
                  <w:u w:val="single"/>
                  <w:rtl w:val="0"/>
                </w:rPr>
                <w:t xml:space="preserve">Access_electricity</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population with access to electricity.</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a country's population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hyperlink r:id="rId26">
              <w:r w:rsidDel="00000000" w:rsidR="00000000" w:rsidRPr="00000000">
                <w:rPr>
                  <w:rFonts w:ascii="Times New Roman" w:cs="Times New Roman" w:eastAsia="Times New Roman" w:hAnsi="Times New Roman"/>
                  <w:color w:val="1155cc"/>
                  <w:sz w:val="20"/>
                  <w:szCs w:val="20"/>
                  <w:u w:val="single"/>
                  <w:rtl w:val="0"/>
                </w:rPr>
                <w:t xml:space="preserve">Access to Electricity in Small Island Developing States of the Pacific - Issues and Challenges</w:t>
              </w:r>
            </w:hyperlink>
            <w:r w:rsidDel="00000000" w:rsidR="00000000" w:rsidRPr="00000000">
              <w:rPr>
                <w:rFonts w:ascii="Times New Roman" w:cs="Times New Roman" w:eastAsia="Times New Roman" w:hAnsi="Times New Roman"/>
                <w:sz w:val="20"/>
                <w:szCs w:val="20"/>
                <w:rtl w:val="0"/>
              </w:rPr>
              <w:t xml:space="preserve"> analyzed the statistically significant relationship between log GDP per capita and access to electricity.</w:t>
            </w: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hyperlink r:id="rId27">
              <w:r w:rsidDel="00000000" w:rsidR="00000000" w:rsidRPr="00000000">
                <w:rPr>
                  <w:rFonts w:ascii="Times New Roman" w:cs="Times New Roman" w:eastAsia="Times New Roman" w:hAnsi="Times New Roman"/>
                  <w:color w:val="1155cc"/>
                  <w:sz w:val="20"/>
                  <w:szCs w:val="20"/>
                  <w:u w:val="single"/>
                  <w:rtl w:val="0"/>
                </w:rPr>
                <w:t xml:space="preserve">Industry_value_added_current_USD</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output in manufacturing, industry, construction, power, water, mining etc. in USD. It is the net output of a sector after adding up all outputs minus intermediate inputs and assets depreciation.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commentRangeStart w:id="0"/>
            <w:r w:rsidDel="00000000" w:rsidR="00000000" w:rsidRPr="00000000">
              <w:rPr>
                <w:rFonts w:ascii="Times New Roman" w:cs="Times New Roman" w:eastAsia="Times New Roman" w:hAnsi="Times New Roman"/>
                <w:sz w:val="20"/>
                <w:szCs w:val="20"/>
                <w:rtl w:val="0"/>
              </w:rPr>
              <w:t xml:space="preserve">-</w:t>
            </w:r>
            <w:commentRangeEnd w:id="0"/>
            <w:r w:rsidDel="00000000" w:rsidR="00000000" w:rsidRPr="00000000">
              <w:commentReference w:id="0"/>
            </w:r>
            <w:r w:rsidDel="00000000" w:rsidR="00000000" w:rsidRPr="00000000">
              <w:rPr>
                <w:rtl w:val="0"/>
              </w:rPr>
            </w:r>
          </w:p>
        </w:tc>
      </w:tr>
      <w:tr>
        <w:trPr>
          <w:cantSplit w:val="0"/>
          <w:trHeight w:val="98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hyperlink r:id="rId28">
              <w:r w:rsidDel="00000000" w:rsidR="00000000" w:rsidRPr="00000000">
                <w:rPr>
                  <w:rFonts w:ascii="Times New Roman" w:cs="Times New Roman" w:eastAsia="Times New Roman" w:hAnsi="Times New Roman"/>
                  <w:color w:val="1155cc"/>
                  <w:sz w:val="20"/>
                  <w:szCs w:val="20"/>
                  <w:u w:val="single"/>
                  <w:rtl w:val="0"/>
                </w:rPr>
                <w:t xml:space="preserve">Employment_in_industry_%_of_total_employment</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the person’s occupation in an industry to produce goods or services for an earning. The industry sector includes mining and quarrying, manufacturing, construction, and public utilities.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total employment</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1">
            <w:pPr>
              <w:spacing w:line="240" w:lineRule="auto"/>
              <w:rPr>
                <w:rFonts w:ascii="Times New Roman" w:cs="Times New Roman" w:eastAsia="Times New Roman" w:hAnsi="Times New Roman"/>
                <w:color w:val="0070c0"/>
                <w:sz w:val="20"/>
                <w:szCs w:val="20"/>
              </w:rPr>
            </w:pPr>
            <w:commentRangeStart w:id="1"/>
            <w:r w:rsidDel="00000000" w:rsidR="00000000" w:rsidRPr="00000000">
              <w:rPr>
                <w:rFonts w:ascii="Times New Roman" w:cs="Times New Roman" w:eastAsia="Times New Roman" w:hAnsi="Times New Roman"/>
                <w:sz w:val="20"/>
                <w:szCs w:val="20"/>
                <w:rtl w:val="0"/>
              </w:rPr>
              <w:t xml:space="preserve">-</w:t>
            </w:r>
            <w:commentRangeEnd w:id="1"/>
            <w:r w:rsidDel="00000000" w:rsidR="00000000" w:rsidRPr="00000000">
              <w:commentReference w:id="1"/>
            </w: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hyperlink r:id="rId29">
              <w:r w:rsidDel="00000000" w:rsidR="00000000" w:rsidRPr="00000000">
                <w:rPr>
                  <w:rFonts w:ascii="Times New Roman" w:cs="Times New Roman" w:eastAsia="Times New Roman" w:hAnsi="Times New Roman"/>
                  <w:color w:val="1155cc"/>
                  <w:sz w:val="20"/>
                  <w:szCs w:val="20"/>
                  <w:u w:val="single"/>
                  <w:rtl w:val="0"/>
                </w:rPr>
                <w:t xml:space="preserve">GDP_per_capita_current_USD</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the GDP divided by the total midyear population of a particular country.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6">
            <w:pPr>
              <w:spacing w:line="240" w:lineRule="auto"/>
              <w:rPr>
                <w:rFonts w:ascii="Times New Roman" w:cs="Times New Roman" w:eastAsia="Times New Roman" w:hAnsi="Times New Roman"/>
                <w:color w:val="0070c0"/>
                <w:sz w:val="20"/>
                <w:szCs w:val="20"/>
              </w:rPr>
            </w:pPr>
            <w:hyperlink r:id="rId30">
              <w:r w:rsidDel="00000000" w:rsidR="00000000" w:rsidRPr="00000000">
                <w:rPr>
                  <w:rFonts w:ascii="Times New Roman" w:cs="Times New Roman" w:eastAsia="Times New Roman" w:hAnsi="Times New Roman"/>
                  <w:color w:val="1155cc"/>
                  <w:sz w:val="20"/>
                  <w:szCs w:val="20"/>
                  <w:u w:val="single"/>
                  <w:rtl w:val="0"/>
                </w:rPr>
                <w:t xml:space="preserve">Analysis of value added services on GDP Growth Rate using Data Mining Techniques</w:t>
              </w:r>
            </w:hyperlink>
            <w:r w:rsidDel="00000000" w:rsidR="00000000" w:rsidRPr="00000000">
              <w:rPr>
                <w:rFonts w:ascii="Times New Roman" w:cs="Times New Roman" w:eastAsia="Times New Roman" w:hAnsi="Times New Roman"/>
                <w:color w:val="0070c0"/>
                <w:sz w:val="20"/>
                <w:szCs w:val="20"/>
                <w:rtl w:val="0"/>
              </w:rPr>
              <w:t xml:space="preserve"> adopted regression technique was to find out the influence of Agriculture, Service and Manufacturing on the performance of gross domestic product (GDP).</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hyperlink r:id="rId31">
              <w:r w:rsidDel="00000000" w:rsidR="00000000" w:rsidRPr="00000000">
                <w:rPr>
                  <w:rFonts w:ascii="Times New Roman" w:cs="Times New Roman" w:eastAsia="Times New Roman" w:hAnsi="Times New Roman"/>
                  <w:color w:val="1155cc"/>
                  <w:sz w:val="20"/>
                  <w:szCs w:val="20"/>
                  <w:u w:val="single"/>
                  <w:rtl w:val="0"/>
                </w:rPr>
                <w:t xml:space="preserve">Final_consumption</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consumption or total consumption expenditure is the expenditure for household final consumption plus the government final consumption.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B">
            <w:pPr>
              <w:spacing w:line="240" w:lineRule="auto"/>
              <w:rPr>
                <w:rFonts w:ascii="Times New Roman" w:cs="Times New Roman" w:eastAsia="Times New Roman" w:hAnsi="Times New Roman"/>
                <w:color w:val="0070c0"/>
                <w:sz w:val="20"/>
                <w:szCs w:val="20"/>
              </w:rPr>
            </w:pPr>
            <w:hyperlink r:id="rId32">
              <w:r w:rsidDel="00000000" w:rsidR="00000000" w:rsidRPr="00000000">
                <w:rPr>
                  <w:rFonts w:ascii="Times New Roman" w:cs="Times New Roman" w:eastAsia="Times New Roman" w:hAnsi="Times New Roman"/>
                  <w:color w:val="1155cc"/>
                  <w:sz w:val="20"/>
                  <w:szCs w:val="20"/>
                  <w:u w:val="single"/>
                  <w:rtl w:val="0"/>
                </w:rPr>
                <w:t xml:space="preserve">Analysis of the Correlation between GDP and the Final Consumption</w:t>
              </w:r>
            </w:hyperlink>
            <w:r w:rsidDel="00000000" w:rsidR="00000000" w:rsidRPr="00000000">
              <w:rPr>
                <w:rFonts w:ascii="Times New Roman" w:cs="Times New Roman" w:eastAsia="Times New Roman" w:hAnsi="Times New Roman"/>
                <w:sz w:val="20"/>
                <w:szCs w:val="20"/>
                <w:rtl w:val="0"/>
              </w:rPr>
              <w:t xml:space="preserve"> examined the evolution of the GDP value and the value of final consumption, in Romania, between 1990 and 2009. Researchers found that an increase by one monetary unit of the final consumption will lead to an increase by 1.21 monetary units of the GDP value. And they draw the conclusion that Romania’s GDP is influenced, mainly, by the evolution of public and private consumption.</w:t>
            </w:r>
            <w:r w:rsidDel="00000000" w:rsidR="00000000" w:rsidRPr="00000000">
              <w:rPr>
                <w:rtl w:val="0"/>
              </w:rPr>
            </w:r>
          </w:p>
        </w:tc>
      </w:tr>
      <w:tr>
        <w:trPr>
          <w:cantSplit w:val="0"/>
          <w:trHeight w:val="98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hyperlink r:id="rId33">
              <w:r w:rsidDel="00000000" w:rsidR="00000000" w:rsidRPr="00000000">
                <w:rPr>
                  <w:rFonts w:ascii="Times New Roman" w:cs="Times New Roman" w:eastAsia="Times New Roman" w:hAnsi="Times New Roman"/>
                  <w:color w:val="1155cc"/>
                  <w:sz w:val="20"/>
                  <w:szCs w:val="20"/>
                  <w:u w:val="single"/>
                  <w:rtl w:val="0"/>
                </w:rPr>
                <w:t xml:space="preserve">Primary_completion_rate</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enrollments minus the number of people who are repeating in the last grade of the primary school, divided by the population at the last grade.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0">
            <w:pPr>
              <w:spacing w:line="240" w:lineRule="auto"/>
              <w:rPr>
                <w:rFonts w:ascii="Times New Roman" w:cs="Times New Roman" w:eastAsia="Times New Roman" w:hAnsi="Times New Roman"/>
                <w:color w:val="0070c0"/>
                <w:sz w:val="20"/>
                <w:szCs w:val="20"/>
              </w:rPr>
            </w:pPr>
            <w:r w:rsidDel="00000000" w:rsidR="00000000" w:rsidRPr="00000000">
              <w:rPr>
                <w:rFonts w:ascii="Times New Roman" w:cs="Times New Roman" w:eastAsia="Times New Roman" w:hAnsi="Times New Roman"/>
                <w:sz w:val="20"/>
                <w:szCs w:val="20"/>
                <w:rtl w:val="0"/>
              </w:rPr>
              <w:t xml:space="preserve">According to world bank details for this data, it is </w:t>
            </w:r>
            <w:r w:rsidDel="00000000" w:rsidR="00000000" w:rsidRPr="00000000">
              <w:rPr>
                <w:rFonts w:ascii="Times New Roman" w:cs="Times New Roman" w:eastAsia="Times New Roman" w:hAnsi="Times New Roman"/>
                <w:sz w:val="20"/>
                <w:szCs w:val="20"/>
                <w:rtl w:val="0"/>
              </w:rPr>
              <w:t xml:space="preserve">increasingly used as a core indicator of an education system's performance, it reflects an education system's coverage and the educational attainment of students. And education, on the other hand, is intuitively related to the service value added.</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hyperlink r:id="rId34">
              <w:r w:rsidDel="00000000" w:rsidR="00000000" w:rsidRPr="00000000">
                <w:rPr>
                  <w:rFonts w:ascii="Times New Roman" w:cs="Times New Roman" w:eastAsia="Times New Roman" w:hAnsi="Times New Roman"/>
                  <w:color w:val="1155cc"/>
                  <w:sz w:val="20"/>
                  <w:szCs w:val="20"/>
                  <w:u w:val="single"/>
                  <w:rtl w:val="0"/>
                </w:rPr>
                <w:t xml:space="preserve">Educational_attainment</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percentage of people ages 25 and above who completed education in post-secondary non-tertiary level.</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hyperlink r:id="rId35">
              <w:r w:rsidDel="00000000" w:rsidR="00000000" w:rsidRPr="00000000">
                <w:rPr>
                  <w:rFonts w:ascii="Times New Roman" w:cs="Times New Roman" w:eastAsia="Times New Roman" w:hAnsi="Times New Roman"/>
                  <w:color w:val="1155cc"/>
                  <w:sz w:val="20"/>
                  <w:szCs w:val="20"/>
                  <w:u w:val="single"/>
                  <w:rtl w:val="0"/>
                </w:rPr>
                <w:t xml:space="preserve">Relationship between education and GDP growth- a mutivariate causality analysis for Bangladesh</w:t>
              </w:r>
            </w:hyperlink>
            <w:r w:rsidDel="00000000" w:rsidR="00000000" w:rsidRPr="00000000">
              <w:rPr>
                <w:rFonts w:ascii="Times New Roman" w:cs="Times New Roman" w:eastAsia="Times New Roman" w:hAnsi="Times New Roman"/>
                <w:color w:val="0070c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empirical results show evidence of bidirectional causality between education and growth in Bangladesh.</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hyperlink r:id="rId36">
              <w:r w:rsidDel="00000000" w:rsidR="00000000" w:rsidRPr="00000000">
                <w:rPr>
                  <w:rFonts w:ascii="Times New Roman" w:cs="Times New Roman" w:eastAsia="Times New Roman" w:hAnsi="Times New Roman"/>
                  <w:color w:val="1155cc"/>
                  <w:sz w:val="20"/>
                  <w:szCs w:val="20"/>
                  <w:u w:val="single"/>
                  <w:rtl w:val="0"/>
                </w:rPr>
                <w:t xml:space="preserve">Individuals_using_the_Internet_%_of_population</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users are individuals who have accessed the internet recently using a computer, cell phone, or by any device.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population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hyperlink r:id="rId37">
              <w:r w:rsidDel="00000000" w:rsidR="00000000" w:rsidRPr="00000000">
                <w:rPr>
                  <w:rFonts w:ascii="Times New Roman" w:cs="Times New Roman" w:eastAsia="Times New Roman" w:hAnsi="Times New Roman"/>
                  <w:color w:val="1155cc"/>
                  <w:sz w:val="20"/>
                  <w:szCs w:val="20"/>
                  <w:u w:val="single"/>
                  <w:rtl w:val="0"/>
                </w:rPr>
                <w:t xml:space="preserve">A quantitative relationship between per capita GDP and scientometric criteria</w:t>
              </w:r>
            </w:hyperlink>
            <w:r w:rsidDel="00000000" w:rsidR="00000000" w:rsidRPr="00000000">
              <w:rPr>
                <w:rFonts w:ascii="Times New Roman" w:cs="Times New Roman" w:eastAsia="Times New Roman" w:hAnsi="Times New Roman"/>
                <w:color w:val="0070c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found</w:t>
            </w:r>
            <w:r w:rsidDel="00000000" w:rsidR="00000000" w:rsidRPr="00000000">
              <w:rPr>
                <w:rFonts w:ascii="Times New Roman" w:cs="Times New Roman" w:eastAsia="Times New Roman" w:hAnsi="Times New Roman"/>
                <w:sz w:val="20"/>
                <w:szCs w:val="20"/>
                <w:rtl w:val="0"/>
              </w:rPr>
              <w:t xml:space="preserve"> IUPI (Internet users per 10,000 inhabitants) an important indicator for the economy measured by GDP.</w:t>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hyperlink r:id="rId38">
              <w:r w:rsidDel="00000000" w:rsidR="00000000" w:rsidRPr="00000000">
                <w:rPr>
                  <w:rFonts w:ascii="Times New Roman" w:cs="Times New Roman" w:eastAsia="Times New Roman" w:hAnsi="Times New Roman"/>
                  <w:color w:val="1155cc"/>
                  <w:sz w:val="20"/>
                  <w:szCs w:val="20"/>
                  <w:u w:val="single"/>
                  <w:rtl w:val="0"/>
                </w:rPr>
                <w:t xml:space="preserve">Poverty_headcount_ratio</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the percentage of the population who are earning less than $1.90 per day at 2011 international price.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population</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hyperlink r:id="rId39">
              <w:r w:rsidDel="00000000" w:rsidR="00000000" w:rsidRPr="00000000">
                <w:rPr>
                  <w:rFonts w:ascii="Times New Roman" w:cs="Times New Roman" w:eastAsia="Times New Roman" w:hAnsi="Times New Roman"/>
                  <w:color w:val="1155cc"/>
                  <w:sz w:val="20"/>
                  <w:szCs w:val="20"/>
                  <w:u w:val="single"/>
                  <w:rtl w:val="0"/>
                </w:rPr>
                <w:t xml:space="preserve">An Empirical Study on the Nexus of Poverty, GDP Growth, Dependency Ratio and Employment in Developing Countries</w:t>
              </w:r>
            </w:hyperlink>
            <w:r w:rsidDel="00000000" w:rsidR="00000000" w:rsidRPr="00000000">
              <w:rPr>
                <w:rFonts w:ascii="Times New Roman" w:cs="Times New Roman" w:eastAsia="Times New Roman" w:hAnsi="Times New Roman"/>
                <w:color w:val="0070c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discovered association between variables such as poverty, economic growth, agricultural and industrial employment and dependency ratio.</w:t>
            </w: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hyperlink r:id="rId40">
              <w:r w:rsidDel="00000000" w:rsidR="00000000" w:rsidRPr="00000000">
                <w:rPr>
                  <w:rFonts w:ascii="Times New Roman" w:cs="Times New Roman" w:eastAsia="Times New Roman" w:hAnsi="Times New Roman"/>
                  <w:color w:val="1155cc"/>
                  <w:sz w:val="20"/>
                  <w:szCs w:val="20"/>
                  <w:u w:val="single"/>
                  <w:rtl w:val="0"/>
                </w:rPr>
                <w:t xml:space="preserve">Access_finance</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to finance is the percentage of firms those use banks to finance investments.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firms using bank</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4">
            <w:pPr>
              <w:spacing w:line="240" w:lineRule="auto"/>
              <w:rPr>
                <w:rFonts w:ascii="Times New Roman" w:cs="Times New Roman" w:eastAsia="Times New Roman" w:hAnsi="Times New Roman"/>
                <w:color w:val="0070c0"/>
                <w:sz w:val="20"/>
                <w:szCs w:val="20"/>
              </w:rPr>
            </w:pPr>
            <w:hyperlink r:id="rId41">
              <w:r w:rsidDel="00000000" w:rsidR="00000000" w:rsidRPr="00000000">
                <w:rPr>
                  <w:rFonts w:ascii="Times New Roman" w:cs="Times New Roman" w:eastAsia="Times New Roman" w:hAnsi="Times New Roman"/>
                  <w:color w:val="1155cc"/>
                  <w:sz w:val="20"/>
                  <w:szCs w:val="20"/>
                  <w:u w:val="single"/>
                  <w:rtl w:val="0"/>
                </w:rPr>
                <w:t xml:space="preserve">Informality and Access to Finance- Evidence from India</w:t>
              </w:r>
            </w:hyperlink>
            <w:r w:rsidDel="00000000" w:rsidR="00000000" w:rsidRPr="00000000">
              <w:rPr>
                <w:rFonts w:ascii="Times New Roman" w:cs="Times New Roman" w:eastAsia="Times New Roman" w:hAnsi="Times New Roman"/>
                <w:sz w:val="20"/>
                <w:szCs w:val="20"/>
                <w:rtl w:val="0"/>
              </w:rPr>
              <w:t xml:space="preserve"> gauged the effect of financial accessibility from the Indian manufacturing sector. It can reduce the entry barrier to the formal sector and increase productivity of formal firms.</w:t>
            </w:r>
            <w:r w:rsidDel="00000000" w:rsidR="00000000" w:rsidRPr="00000000">
              <w:rPr>
                <w:rtl w:val="0"/>
              </w:rPr>
            </w:r>
          </w:p>
        </w:tc>
      </w:tr>
      <w:tr>
        <w:trPr>
          <w:cantSplit w:val="0"/>
          <w:trHeight w:val="557"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hyperlink r:id="rId42">
              <w:r w:rsidDel="00000000" w:rsidR="00000000" w:rsidRPr="00000000">
                <w:rPr>
                  <w:rFonts w:ascii="Times New Roman" w:cs="Times New Roman" w:eastAsia="Times New Roman" w:hAnsi="Times New Roman"/>
                  <w:color w:val="1155cc"/>
                  <w:sz w:val="20"/>
                  <w:szCs w:val="20"/>
                  <w:u w:val="single"/>
                  <w:rtl w:val="0"/>
                </w:rPr>
                <w:t xml:space="preserve">New_business_density</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new limited liability companies registered in a year per 1000 people (ages between 15-64).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business entity per 1000 people per year</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9">
            <w:pPr>
              <w:spacing w:line="240" w:lineRule="auto"/>
              <w:rPr>
                <w:rFonts w:ascii="Times New Roman" w:cs="Times New Roman" w:eastAsia="Times New Roman" w:hAnsi="Times New Roman"/>
                <w:color w:val="0070c0"/>
                <w:sz w:val="20"/>
                <w:szCs w:val="20"/>
              </w:rPr>
            </w:pPr>
            <w:r w:rsidDel="00000000" w:rsidR="00000000" w:rsidRPr="00000000">
              <w:rPr>
                <w:rFonts w:ascii="Times New Roman" w:cs="Times New Roman" w:eastAsia="Times New Roman" w:hAnsi="Times New Roman"/>
                <w:sz w:val="20"/>
                <w:szCs w:val="20"/>
                <w:rtl w:val="0"/>
              </w:rPr>
              <w:t xml:space="preserve">According to the world bank details for this data, entrepreneurship is a critical part of economic development and growth and important for the continued dynamism of the modern economy. This variable helps us understand the trends in new firm creation across regions and income groups.</w:t>
            </w:r>
            <w:r w:rsidDel="00000000" w:rsidR="00000000" w:rsidRPr="00000000">
              <w:rPr>
                <w:rtl w:val="0"/>
              </w:rPr>
            </w:r>
          </w:p>
        </w:tc>
      </w:tr>
      <w:tr>
        <w:trPr>
          <w:cantSplit w:val="0"/>
          <w:trHeight w:val="557"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A">
            <w:pPr>
              <w:spacing w:line="2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B">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 Variable</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57" w:hRule="atLeast"/>
          <w:tblHeader w:val="0"/>
        </w:trPr>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9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hyperlink r:id="rId43">
              <w:r w:rsidDel="00000000" w:rsidR="00000000" w:rsidRPr="00000000">
                <w:rPr>
                  <w:rFonts w:ascii="Times New Roman" w:cs="Times New Roman" w:eastAsia="Times New Roman" w:hAnsi="Times New Roman"/>
                  <w:color w:val="1155cc"/>
                  <w:sz w:val="20"/>
                  <w:szCs w:val="20"/>
                  <w:u w:val="single"/>
                  <w:rtl w:val="0"/>
                </w:rPr>
                <w:t xml:space="preserve">Services_value_added_%_of_GDP</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the value added in wholesale and retail service. Service value added is the net output of a sector after adding up all outputs minus intermediate inputs.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GDP in USD</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95">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e Yang" w:id="1" w:date="2022-10-10T03:35:08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it to the manufacture predators? And maybe replace it with "Employment in services (% of total employment) (modeled ILO estimate)"</w:t>
      </w:r>
    </w:p>
  </w:comment>
  <w:comment w:author="Jace Yang" w:id="0" w:date="2022-10-10T04:19:16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don't see the reason to include it as a predictor for service task. TBD!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spacing w:after="80" w:before="28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ata.worldbank.org/indicator/IC.FRM.BNKS.ZS" TargetMode="External"/><Relationship Id="rId20" Type="http://schemas.openxmlformats.org/officeDocument/2006/relationships/hyperlink" Target="https://drive.google.com/file/d/1uX5uxTHvgDCFhlt3-e7fteE0mH4gXI0Y/view?usp=sharing" TargetMode="External"/><Relationship Id="rId42" Type="http://schemas.openxmlformats.org/officeDocument/2006/relationships/hyperlink" Target="https://data.worldbank.org/indicator/IC.BUS.NDNS.ZS" TargetMode="External"/><Relationship Id="rId41" Type="http://schemas.openxmlformats.org/officeDocument/2006/relationships/hyperlink" Target="https://drive.google.com/file/d/1UBR7fUwRSqUFdj-5LLeXOqMjcLIeyhO4/view?usp=sharing" TargetMode="External"/><Relationship Id="rId22" Type="http://schemas.openxmlformats.org/officeDocument/2006/relationships/hyperlink" Target="https://drive.google.com/file/d/1UBR7fUwRSqUFdj-5LLeXOqMjcLIeyhO4/view?usp=sharing" TargetMode="External"/><Relationship Id="rId21" Type="http://schemas.openxmlformats.org/officeDocument/2006/relationships/hyperlink" Target="https://data.worldbank.org/indicator/IC.FRM.BNKS.ZS" TargetMode="External"/><Relationship Id="rId43" Type="http://schemas.openxmlformats.org/officeDocument/2006/relationships/hyperlink" Target="https://data.worldbank.org/indicator/NV.SRV.TOTL.ZS" TargetMode="External"/><Relationship Id="rId24" Type="http://schemas.openxmlformats.org/officeDocument/2006/relationships/hyperlink" Target="https://data.worldbank.org/indicator/NV.IND.MANF.ZS" TargetMode="External"/><Relationship Id="rId23" Type="http://schemas.openxmlformats.org/officeDocument/2006/relationships/hyperlink" Target="https://data.worldbank.org/indicator/IC.BUS.NDNS.Z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ata.worldbank.org/indicator/IS.SHP.GOOD.TU" TargetMode="External"/><Relationship Id="rId26" Type="http://schemas.openxmlformats.org/officeDocument/2006/relationships/hyperlink" Target="https://drive.google.com/file/d/1ZZVEu8-zW7E1fRghglIR6_xVdWL7Y0mq/view?usp=sharing" TargetMode="External"/><Relationship Id="rId25" Type="http://schemas.openxmlformats.org/officeDocument/2006/relationships/hyperlink" Target="https://data.worldbank.org/indicator/EG.ELC.ACCS.ZS" TargetMode="External"/><Relationship Id="rId28" Type="http://schemas.openxmlformats.org/officeDocument/2006/relationships/hyperlink" Target="https://data.worldbank.org/indicator/SL.IND.EMPL.ZS" TargetMode="External"/><Relationship Id="rId27" Type="http://schemas.openxmlformats.org/officeDocument/2006/relationships/hyperlink" Target="https://data.worldbank.org/indicator/NV.IND.TOTL.CD"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ata.worldbank.org/indicator/NY.GDP.PCAP.CD" TargetMode="External"/><Relationship Id="rId7" Type="http://schemas.openxmlformats.org/officeDocument/2006/relationships/hyperlink" Target="https://data.worldbank.org/indicator/IS.AIR.GOOD.MT.K1" TargetMode="External"/><Relationship Id="rId8" Type="http://schemas.openxmlformats.org/officeDocument/2006/relationships/hyperlink" Target="https://drive.google.com/file/d/1UKidWrR8jj1vvgc_AaMNfSZJtsGRZrFb/view?usp=sharing" TargetMode="External"/><Relationship Id="rId31" Type="http://schemas.openxmlformats.org/officeDocument/2006/relationships/hyperlink" Target="https://data.worldbank.org/indicator/NE.CON.TOTL.CD" TargetMode="External"/><Relationship Id="rId30" Type="http://schemas.openxmlformats.org/officeDocument/2006/relationships/hyperlink" Target="https://drive.google.com/file/d/1gMhT0RaZJa3bwreY4xmj2S9IpQo42UWI/view?usp=sharing" TargetMode="External"/><Relationship Id="rId11" Type="http://schemas.openxmlformats.org/officeDocument/2006/relationships/hyperlink" Target="https://data.worldbank.org/indicator/IS.RRS.GOOD.MT.K6" TargetMode="External"/><Relationship Id="rId33" Type="http://schemas.openxmlformats.org/officeDocument/2006/relationships/hyperlink" Target="https://data.worldbank.org/indicator/SE.PRM.CMPT.ZS" TargetMode="External"/><Relationship Id="rId10" Type="http://schemas.openxmlformats.org/officeDocument/2006/relationships/hyperlink" Target="https://drive.google.com/file/d/19wsy-YHffoZIqxH_gdIAIkElAAlXwVyR/view?usp=sharing" TargetMode="External"/><Relationship Id="rId32" Type="http://schemas.openxmlformats.org/officeDocument/2006/relationships/hyperlink" Target="https://drive.google.com/file/d/1uX5uxTHvgDCFhlt3-e7fteE0mH4gXI0Y/view?usp=sharing" TargetMode="External"/><Relationship Id="rId13" Type="http://schemas.openxmlformats.org/officeDocument/2006/relationships/hyperlink" Target="https://data.worldbank.org/indicator/LP.LPI.OVRL.XQ" TargetMode="External"/><Relationship Id="rId35" Type="http://schemas.openxmlformats.org/officeDocument/2006/relationships/hyperlink" Target="https://drive.google.com/file/d/1SojNDNDKuXmsZe4dOLtX5U4F4ifLuu7N/view?usp=sharing" TargetMode="External"/><Relationship Id="rId12" Type="http://schemas.openxmlformats.org/officeDocument/2006/relationships/hyperlink" Target="https://drive.google.com/file/d/19wsy-YHffoZIqxH_gdIAIkElAAlXwVyR/view?usp=sharing" TargetMode="External"/><Relationship Id="rId34" Type="http://schemas.openxmlformats.org/officeDocument/2006/relationships/hyperlink" Target="https://data.worldbank.org/indicator/SE.SEC.CUAT.LO.ZS" TargetMode="External"/><Relationship Id="rId15" Type="http://schemas.openxmlformats.org/officeDocument/2006/relationships/hyperlink" Target="https://data.worldbank.org/indicator/NV.IND.TOTL.CD" TargetMode="External"/><Relationship Id="rId37" Type="http://schemas.openxmlformats.org/officeDocument/2006/relationships/hyperlink" Target="https://drive.google.com/file/d/1SojNDNDKuXmsZe4dOLtX5U4F4ifLuu7N/view?usp=sharing" TargetMode="External"/><Relationship Id="rId14" Type="http://schemas.openxmlformats.org/officeDocument/2006/relationships/hyperlink" Target="https://drive.google.com/file/d/1Elg79ZHOl32bA1VrOWmBwII261XTmuIe/view?usp=sharing" TargetMode="External"/><Relationship Id="rId36" Type="http://schemas.openxmlformats.org/officeDocument/2006/relationships/hyperlink" Target="https://data.worldbank.org/indicator/IT.NET.USER.ZS" TargetMode="External"/><Relationship Id="rId17" Type="http://schemas.openxmlformats.org/officeDocument/2006/relationships/hyperlink" Target="https://data.worldbank.org/indicator/NY.GDP.PCAP.CD" TargetMode="External"/><Relationship Id="rId39" Type="http://schemas.openxmlformats.org/officeDocument/2006/relationships/hyperlink" Target="https://drive.google.com/file/d/1qQxd1dEHx8lPMkZALrhLcBo-JVF4h9bn/view?usp=sharing" TargetMode="External"/><Relationship Id="rId16" Type="http://schemas.openxmlformats.org/officeDocument/2006/relationships/hyperlink" Target="https://drive.google.com/file/d/1LxTdYQmlgSch3lntovwmVC35L_lmT1Cg/view?usp=sharing" TargetMode="External"/><Relationship Id="rId38" Type="http://schemas.openxmlformats.org/officeDocument/2006/relationships/hyperlink" Target="https://data.worldbank.org/indicator/SI.POV.DDAY" TargetMode="External"/><Relationship Id="rId19" Type="http://schemas.openxmlformats.org/officeDocument/2006/relationships/hyperlink" Target="https://data.worldbank.org/indicator/NE.CON.TOTL.CD" TargetMode="External"/><Relationship Id="rId18" Type="http://schemas.openxmlformats.org/officeDocument/2006/relationships/hyperlink" Target="https://drive.google.com/file/d/1EwbF57Ds1iPmLcucpMd9uOprsVTEfdw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