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Whom It May Concern: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a journalist seeking information about the vendors who participate in the HCV program. I’m looking for information about who the companies are, where they are located, the services they provide (the units they rent out through the program) and all related payments. Specifically, under the Illinois Freedom of Information Act, I am seeking the following information for the period between Jan. 1, 2021, to Feb. 14,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All payment records for landlords who participate in the Housing Choice Voucher program, including, but not limited to, the property owner's name, physical rental property address, the property owner’s mailing address, </w:t>
      </w:r>
      <w:commentRangeStart w:id="0"/>
      <w:commentRangeStart w:id="1"/>
      <w:r w:rsidDel="00000000" w:rsidR="00000000" w:rsidRPr="00000000">
        <w:rPr>
          <w:rtl w:val="0"/>
        </w:rPr>
        <w:t xml:space="preserve">Housing Assistance Payments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from the CHA to the property owner, and the gross rent and utility allowances paid to the property owner.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provide the records in an electronic format. The requested documents will be made available to the general public, and this request is not being made for commercial purposes.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event that there are fees, I would be grateful if you would inform me of the total charges in advance of fulfilling my request. I would prefer the request filled electronically and in its original form, by e-mail attachment if available or CD-ROM if not.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in advance for your anticipated cooperation in this matter. I look forward to receiving your response to this request within 5 business days, as the statute requires.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Sincerely,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Tatiana Walk-Morris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tiana Walk-Morris" w:id="0" w:date="2024-02-13T17:38:31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https://www.hud.gov/sites/documents/DOC_11737.PDF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https://ffiec.cfpb.gov/data-browser/data/2022?category=counties&amp;items=17031&amp;loan_types=</w:t>
      </w:r>
    </w:p>
  </w:comment>
  <w:comment w:author="Tatiana Walk-Morris" w:id="1" w:date="2024-02-13T17:39:57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Glossary: https://cha-assets.s3.us-east-2.amazonaws.com/s3fs-public/2023-04/Participant%20Pocket%20Guide%20March%202023_0.pdf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