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Validation Report</w:t>
      </w:r>
    </w:p>
    <w:p>
      <w:r>
        <w:rPr>
          <w:b/>
          <w:i w:val="0"/>
          <w:sz w:val="28"/>
        </w:rPr>
        <w:t>Retail Unsecured Loan PD Scorecard</w:t>
      </w:r>
    </w:p>
    <w:tbl>
      <w:tblPr>
        <w:tblStyle w:val="TableGrid"/>
        <w:tblW w:type="auto" w:w="0"/>
        <w:jc w:val="center"/>
        <w:tblLayout w:type="fixed"/>
        <w:tblLook w:firstColumn="1" w:firstRow="1" w:lastColumn="0" w:lastRow="0" w:noHBand="0" w:noVBand="1" w:val="04A0"/>
      </w:tblPr>
      <w:tblGrid>
        <w:gridCol w:w="2880"/>
        <w:gridCol w:w="6624"/>
      </w:tblGrid>
      <w:tr>
        <w:tc>
          <w:tcPr>
            <w:tcW w:type="dxa" w:w="2880"/>
            <w:shd w:val="clear" w:color="auto" w:fill="F0EFEC"/>
          </w:tcPr>
          <w:p>
            <w:r>
              <w:rPr>
                <w:b/>
                <w:sz w:val="17"/>
              </w:rPr>
              <w:t>Item</w:t>
            </w:r>
          </w:p>
        </w:tc>
        <w:tc>
          <w:tcPr>
            <w:tcW w:type="dxa" w:w="6624"/>
            <w:shd w:val="clear" w:color="auto" w:fill="F0EFEC"/>
          </w:tcPr>
          <w:p>
            <w:r>
              <w:rPr>
                <w:b/>
                <w:sz w:val="17"/>
              </w:rPr>
              <w:t>Detail</w:t>
            </w:r>
          </w:p>
        </w:tc>
      </w:tr>
      <w:tr>
        <w:tc>
          <w:tcPr>
            <w:tcW w:type="dxa" w:w="2880"/>
          </w:tcPr>
          <w:p>
            <w:r>
              <w:rPr>
                <w:sz w:val="17"/>
              </w:rPr>
              <w:t>Model ID / version</w:t>
            </w:r>
          </w:p>
        </w:tc>
        <w:tc>
          <w:tcPr>
            <w:tcW w:type="dxa" w:w="6624"/>
          </w:tcPr>
          <w:p>
            <w:r>
              <w:rPr>
                <w:sz w:val="17"/>
              </w:rPr>
              <w:t>CR-PD-001 / 2.3</w:t>
            </w:r>
          </w:p>
        </w:tc>
      </w:tr>
      <w:tr>
        <w:tc>
          <w:tcPr>
            <w:tcW w:type="dxa" w:w="2880"/>
          </w:tcPr>
          <w:p>
            <w:r>
              <w:rPr>
                <w:sz w:val="17"/>
              </w:rPr>
              <w:t>Model type</w:t>
            </w:r>
          </w:p>
        </w:tc>
        <w:tc>
          <w:tcPr>
            <w:tcW w:type="dxa" w:w="6624"/>
          </w:tcPr>
          <w:p>
            <w:r>
              <w:rPr>
                <w:sz w:val="17"/>
              </w:rPr>
              <w:t>Credit risk — probability of default (PD)</w:t>
            </w:r>
          </w:p>
        </w:tc>
      </w:tr>
      <w:tr>
        <w:tc>
          <w:tcPr>
            <w:tcW w:type="dxa" w:w="2880"/>
          </w:tcPr>
          <w:p>
            <w:r>
              <w:rPr>
                <w:sz w:val="17"/>
              </w:rPr>
              <w:t>Model owner</w:t>
            </w:r>
          </w:p>
        </w:tc>
        <w:tc>
          <w:tcPr>
            <w:tcW w:type="dxa" w:w="6624"/>
          </w:tcPr>
          <w:p>
            <w:r>
              <w:rPr>
                <w:sz w:val="17"/>
              </w:rPr>
              <w:t>Retail Credit Risk Modeling</w:t>
            </w:r>
          </w:p>
        </w:tc>
      </w:tr>
      <w:tr>
        <w:tc>
          <w:tcPr>
            <w:tcW w:type="dxa" w:w="2880"/>
          </w:tcPr>
          <w:p>
            <w:r>
              <w:rPr>
                <w:sz w:val="17"/>
              </w:rPr>
              <w:t>Validation run</w:t>
            </w:r>
          </w:p>
        </w:tc>
        <w:tc>
          <w:tcPr>
            <w:tcW w:type="dxa" w:w="6624"/>
          </w:tcPr>
          <w:p>
            <w:r>
              <w:rPr>
                <w:sz w:val="17"/>
              </w:rPr>
              <w:t>20261023-194444-CR-PD-001-c39695</w:t>
            </w:r>
          </w:p>
        </w:tc>
      </w:tr>
      <w:tr>
        <w:tc>
          <w:tcPr>
            <w:tcW w:type="dxa" w:w="2880"/>
          </w:tcPr>
          <w:p>
            <w:r>
              <w:rPr>
                <w:sz w:val="17"/>
              </w:rPr>
              <w:t>Automated analysis</w:t>
            </w:r>
          </w:p>
        </w:tc>
        <w:tc>
          <w:tcPr>
            <w:tcW w:type="dxa" w:w="6624"/>
          </w:tcPr>
          <w:p>
            <w:r>
              <w:rPr>
                <w:sz w:val="17"/>
              </w:rPr>
              <w:t>2026-10-23 19:44 UTC (4.9 s)</w:t>
            </w:r>
          </w:p>
        </w:tc>
      </w:tr>
      <w:tr>
        <w:tc>
          <w:tcPr>
            <w:tcW w:type="dxa" w:w="2880"/>
          </w:tcPr>
          <w:p>
            <w:r>
              <w:rPr>
                <w:sz w:val="17"/>
              </w:rPr>
              <w:t>Reviewed and signed off by</w:t>
            </w:r>
          </w:p>
        </w:tc>
        <w:tc>
          <w:tcPr>
            <w:tcW w:type="dxa" w:w="6624"/>
          </w:tcPr>
          <w:p>
            <w:r>
              <w:rPr>
                <w:sz w:val="17"/>
              </w:rPr>
              <w:t>Demo reviewer, 2026-10-23 19:44 UTC</w:t>
            </w:r>
          </w:p>
        </w:tc>
      </w:tr>
      <w:tr>
        <w:tc>
          <w:tcPr>
            <w:tcW w:type="dxa" w:w="2880"/>
          </w:tcPr>
          <w:p>
            <w:r>
              <w:rPr>
                <w:sz w:val="17"/>
              </w:rPr>
              <w:t>Overall rating</w:t>
            </w:r>
          </w:p>
        </w:tc>
        <w:tc>
          <w:tcPr>
            <w:tcW w:type="dxa" w:w="6624"/>
          </w:tcPr>
          <w:p>
            <w:r>
              <w:rPr>
                <w:sz w:val="17"/>
              </w:rPr>
              <w:t>Unsatisfactory</w:t>
            </w:r>
          </w:p>
        </w:tc>
      </w:tr>
      <w:tr>
        <w:tc>
          <w:tcPr>
            <w:tcW w:type="dxa" w:w="2880"/>
          </w:tcPr>
          <w:p>
            <w:r>
              <w:rPr>
                <w:sz w:val="17"/>
              </w:rPr>
              <w:t>Framework</w:t>
            </w:r>
          </w:p>
        </w:tc>
        <w:tc>
          <w:tcPr>
            <w:tcW w:type="dxa" w:w="6624"/>
          </w:tcPr>
          <w:p>
            <w:r>
              <w:rPr>
                <w:sz w:val="17"/>
              </w:rPr>
              <w:t>Federal Reserve / OCC SR 11-7 — Supervisory Guidance on Model Risk Management</w:t>
            </w:r>
          </w:p>
        </w:tc>
      </w:tr>
    </w:tbl>
    <w:p>
      <w:pPr>
        <w:pStyle w:val="Heading1"/>
      </w:pPr>
      <w:r>
        <w:t>1. Executive summary</w:t>
      </w:r>
    </w:p>
    <w:p>
      <w:r>
        <w:rPr>
          <w:b/>
        </w:rPr>
        <w:t xml:space="preserve">Overall rating: </w:t>
      </w:r>
      <w:r>
        <w:rPr>
          <w:b/>
        </w:rPr>
        <w:t>Unsatisfactory</w:t>
      </w:r>
    </w:p>
    <w:p>
      <w:r>
        <w:rPr>
          <w:b w:val="0"/>
          <w:i/>
        </w:rPr>
        <w:t>The model should not be relied on for its intended use until High-severity findings are remediated, or only under compensating controls approved by the model risk committee.</w:t>
      </w:r>
    </w:p>
    <w:p>
      <w:r>
        <w:t>The validation of Retail Unsecured Loan PD Scorecard concludes with an overall rating of Unsatisfactory. The model should not be relied on for its intended use until High-severity findings are remediated, or only under compensating controls approved by the model risk committee. After review, 14 finding(s) were retained: 5 High, 8 Medium and 1 Low severity. The most material are Multicollinearity among model features (severe) (AS-001); Model under-predicts defaults (BT-001); Values outside documented valid ranges in development data (DQ-002).</w:t>
      </w:r>
    </w:p>
    <w:p>
      <w:r>
        <w:rPr>
          <w:b w:val="0"/>
          <w:i/>
          <w:color w:val="52514E"/>
          <w:sz w:val="16"/>
        </w:rPr>
        <w:t>Executive summary drafted by template from the reviewed findings; ratings and severities are set by the validator.</w:t>
      </w:r>
    </w:p>
    <w:tbl>
      <w:tblPr>
        <w:tblStyle w:val="TableGrid"/>
        <w:tblW w:type="auto" w:w="0"/>
        <w:jc w:val="center"/>
        <w:tblLayout w:type="fixed"/>
        <w:tblLook w:firstColumn="1" w:firstRow="1" w:lastColumn="0" w:lastRow="0" w:noHBand="0" w:noVBand="1" w:val="04A0"/>
      </w:tblPr>
      <w:tblGrid>
        <w:gridCol w:w="2160"/>
        <w:gridCol w:w="1728"/>
        <w:gridCol w:w="2880"/>
      </w:tblGrid>
      <w:tr>
        <w:tc>
          <w:tcPr>
            <w:tcW w:type="dxa" w:w="2160"/>
            <w:shd w:val="clear" w:color="auto" w:fill="F0EFEC"/>
          </w:tcPr>
          <w:p>
            <w:r>
              <w:rPr>
                <w:b/>
                <w:sz w:val="17"/>
              </w:rPr>
              <w:t>Severity</w:t>
            </w:r>
          </w:p>
        </w:tc>
        <w:tc>
          <w:tcPr>
            <w:tcW w:type="dxa" w:w="1728"/>
            <w:shd w:val="clear" w:color="auto" w:fill="F0EFEC"/>
          </w:tcPr>
          <w:p>
            <w:r>
              <w:rPr>
                <w:b/>
                <w:sz w:val="17"/>
              </w:rPr>
              <w:t>Findings</w:t>
            </w:r>
          </w:p>
        </w:tc>
        <w:tc>
          <w:tcPr>
            <w:tcW w:type="dxa" w:w="2880"/>
            <w:shd w:val="clear" w:color="auto" w:fill="F0EFEC"/>
          </w:tcPr>
          <w:p>
            <w:r>
              <w:rPr>
                <w:b/>
                <w:sz w:val="17"/>
              </w:rPr>
              <w:t>Remediation due within</w:t>
            </w:r>
          </w:p>
        </w:tc>
      </w:tr>
      <w:tr>
        <w:tc>
          <w:tcPr>
            <w:tcW w:type="dxa" w:w="2160"/>
            <w:shd w:val="clear" w:color="auto" w:fill="D03B3B"/>
          </w:tcPr>
          <w:p>
            <w:r>
              <w:rPr>
                <w:b/>
                <w:color w:val="FFFFFF"/>
                <w:sz w:val="17"/>
              </w:rPr>
              <w:t>High</w:t>
            </w:r>
          </w:p>
        </w:tc>
        <w:tc>
          <w:tcPr>
            <w:tcW w:type="dxa" w:w="1728"/>
          </w:tcPr>
          <w:p>
            <w:r>
              <w:rPr>
                <w:sz w:val="17"/>
              </w:rPr>
              <w:t>5</w:t>
            </w:r>
          </w:p>
        </w:tc>
        <w:tc>
          <w:tcPr>
            <w:tcW w:type="dxa" w:w="2880"/>
          </w:tcPr>
          <w:p>
            <w:r>
              <w:rPr>
                <w:sz w:val="17"/>
              </w:rPr>
              <w:t>90 days</w:t>
            </w:r>
          </w:p>
        </w:tc>
      </w:tr>
      <w:tr>
        <w:tc>
          <w:tcPr>
            <w:tcW w:type="dxa" w:w="2160"/>
            <w:shd w:val="clear" w:color="auto" w:fill="FAB219"/>
          </w:tcPr>
          <w:p>
            <w:r>
              <w:rPr>
                <w:b/>
                <w:color w:val="0B0B0B"/>
                <w:sz w:val="17"/>
              </w:rPr>
              <w:t>Medium</w:t>
            </w:r>
          </w:p>
        </w:tc>
        <w:tc>
          <w:tcPr>
            <w:tcW w:type="dxa" w:w="1728"/>
          </w:tcPr>
          <w:p>
            <w:r>
              <w:rPr>
                <w:sz w:val="17"/>
              </w:rPr>
              <w:t>8</w:t>
            </w:r>
          </w:p>
        </w:tc>
        <w:tc>
          <w:tcPr>
            <w:tcW w:type="dxa" w:w="2880"/>
          </w:tcPr>
          <w:p>
            <w:r>
              <w:rPr>
                <w:sz w:val="17"/>
              </w:rPr>
              <w:t>180 days</w:t>
            </w:r>
          </w:p>
        </w:tc>
      </w:tr>
      <w:tr>
        <w:tc>
          <w:tcPr>
            <w:tcW w:type="dxa" w:w="2160"/>
            <w:shd w:val="clear" w:color="auto" w:fill="E1E0D9"/>
          </w:tcPr>
          <w:p>
            <w:r>
              <w:rPr>
                <w:b/>
                <w:color w:val="0B0B0B"/>
                <w:sz w:val="17"/>
              </w:rPr>
              <w:t>Low</w:t>
            </w:r>
          </w:p>
        </w:tc>
        <w:tc>
          <w:tcPr>
            <w:tcW w:type="dxa" w:w="1728"/>
          </w:tcPr>
          <w:p>
            <w:r>
              <w:rPr>
                <w:sz w:val="17"/>
              </w:rPr>
              <w:t>1</w:t>
            </w:r>
          </w:p>
        </w:tc>
        <w:tc>
          <w:tcPr>
            <w:tcW w:type="dxa" w:w="2880"/>
          </w:tcPr>
          <w:p>
            <w:r>
              <w:rPr>
                <w:sz w:val="17"/>
              </w:rPr>
              <w:t>365 days</w:t>
            </w:r>
          </w:p>
        </w:tc>
      </w:tr>
    </w:tbl>
    <w:p>
      <w:r>
        <w:rPr>
          <w:b w:val="0"/>
          <w:i w:val="0"/>
          <w:color w:val="52514E"/>
          <w:sz w:val="17"/>
        </w:rPr>
        <w:t>Review status: 13 accepted, 1 edited, 1 rejected, 0 pending.</w:t>
      </w:r>
    </w:p>
    <w:p>
      <w:pPr>
        <w:pStyle w:val="Heading1"/>
      </w:pPr>
      <w:r>
        <w:t>2. Model and validation scope</w:t>
      </w:r>
    </w:p>
    <w:p>
      <w:r>
        <w:rPr>
          <w:b/>
        </w:rPr>
        <w:t xml:space="preserve">Purpose: </w:t>
      </w:r>
      <w:r>
        <w:t>Estimate 12-month probability of default for unsecured personal loan applicants.</w:t>
      </w:r>
    </w:p>
    <w:p>
      <w:r>
        <w:rPr>
          <w:b/>
        </w:rPr>
        <w:t xml:space="preserve">Intended use: </w:t>
      </w:r>
      <w:r>
        <w:t>Application approval cut-offs and risk-based pricing; input to CECL PD estimates.</w:t>
      </w:r>
    </w:p>
    <w:p>
      <w:r>
        <w:rPr>
          <w:b/>
          <w:i w:val="0"/>
        </w:rPr>
        <w:t>Documented assumptions tested:</w:t>
      </w:r>
    </w:p>
    <w:p>
      <w:pPr>
        <w:pStyle w:val="ListBullet"/>
      </w:pPr>
      <w:r>
        <w:t>Log-odds of default are linear in the (transformed) features.</w:t>
      </w:r>
    </w:p>
    <w:p>
      <w:pPr>
        <w:pStyle w:val="ListBullet"/>
      </w:pPr>
      <w:r>
        <w:t>Development sample is representative of the current applicant population.</w:t>
      </w:r>
    </w:p>
    <w:p>
      <w:pPr>
        <w:pStyle w:val="ListBullet"/>
      </w:pPr>
      <w:r>
        <w:t>Features are available at application time.</w:t>
      </w:r>
    </w:p>
    <w:p>
      <w:pPr>
        <w:pStyle w:val="ListBullet"/>
      </w:pPr>
      <w:r>
        <w:t>Default definition: 90+ days past due within 12 months of origination.</w:t>
      </w:r>
    </w:p>
    <w:p>
      <w:r>
        <w:rPr>
          <w:b/>
          <w:i w:val="0"/>
        </w:rPr>
        <w:t>Documented limitations:</w:t>
      </w:r>
    </w:p>
    <w:p>
      <w:pPr>
        <w:pStyle w:val="ListBullet"/>
      </w:pPr>
      <w:r>
        <w:t>Not validated for small-business or secured lending.</w:t>
      </w:r>
    </w:p>
    <w:p>
      <w:r>
        <w:rPr>
          <w:b/>
          <w:i w:val="0"/>
        </w:rPr>
        <w:t>Validation activities</w:t>
      </w:r>
    </w:p>
    <w:tbl>
      <w:tblPr>
        <w:tblStyle w:val="TableGrid"/>
        <w:tblW w:type="auto" w:w="0"/>
        <w:jc w:val="center"/>
        <w:tblLayout w:type="fixed"/>
        <w:tblLook w:firstColumn="1" w:firstRow="1" w:lastColumn="0" w:lastRow="0" w:noHBand="0" w:noVBand="1" w:val="04A0"/>
      </w:tblPr>
      <w:tblGrid>
        <w:gridCol w:w="2304"/>
        <w:gridCol w:w="3744"/>
        <w:gridCol w:w="2016"/>
        <w:gridCol w:w="1440"/>
      </w:tblGrid>
      <w:tr>
        <w:tc>
          <w:tcPr>
            <w:tcW w:type="dxa" w:w="2304"/>
            <w:shd w:val="clear" w:color="auto" w:fill="F0EFEC"/>
          </w:tcPr>
          <w:p>
            <w:r>
              <w:rPr>
                <w:b/>
                <w:sz w:val="17"/>
              </w:rPr>
              <w:t>Review area</w:t>
            </w:r>
          </w:p>
        </w:tc>
        <w:tc>
          <w:tcPr>
            <w:tcW w:type="dxa" w:w="3744"/>
            <w:shd w:val="clear" w:color="auto" w:fill="F0EFEC"/>
          </w:tcPr>
          <w:p>
            <w:r>
              <w:rPr>
                <w:b/>
                <w:sz w:val="17"/>
              </w:rPr>
              <w:t>SR 11-7 element</w:t>
            </w:r>
          </w:p>
        </w:tc>
        <w:tc>
          <w:tcPr>
            <w:tcW w:type="dxa" w:w="2016"/>
            <w:shd w:val="clear" w:color="auto" w:fill="F0EFEC"/>
          </w:tcPr>
          <w:p>
            <w:r>
              <w:rPr>
                <w:b/>
                <w:sz w:val="17"/>
              </w:rPr>
              <w:t>Status</w:t>
            </w:r>
          </w:p>
        </w:tc>
        <w:tc>
          <w:tcPr>
            <w:tcW w:type="dxa" w:w="1440"/>
            <w:shd w:val="clear" w:color="auto" w:fill="F0EFEC"/>
          </w:tcPr>
          <w:p>
            <w:r>
              <w:rPr>
                <w:b/>
                <w:sz w:val="17"/>
              </w:rPr>
              <w:t>Findings proposed</w:t>
            </w:r>
          </w:p>
        </w:tc>
      </w:tr>
      <w:tr>
        <w:tc>
          <w:tcPr>
            <w:tcW w:type="dxa" w:w="2304"/>
          </w:tcPr>
          <w:p>
            <w:r>
              <w:rPr>
                <w:sz w:val="17"/>
              </w:rPr>
              <w:t>Data Quality</w:t>
            </w:r>
          </w:p>
        </w:tc>
        <w:tc>
          <w:tcPr>
            <w:tcW w:type="dxa" w:w="3744"/>
          </w:tcPr>
          <w:p>
            <w:r>
              <w:rPr>
                <w:sz w:val="17"/>
              </w:rPr>
              <w:t>Evaluation of conceptual soundness, Ongoing monitoring</w:t>
            </w:r>
          </w:p>
        </w:tc>
        <w:tc>
          <w:tcPr>
            <w:tcW w:type="dxa" w:w="2016"/>
          </w:tcPr>
          <w:p>
            <w:r>
              <w:rPr>
                <w:sz w:val="17"/>
              </w:rPr>
              <w:t>Completed</w:t>
            </w:r>
          </w:p>
        </w:tc>
        <w:tc>
          <w:tcPr>
            <w:tcW w:type="dxa" w:w="1440"/>
          </w:tcPr>
          <w:p>
            <w:r>
              <w:rPr>
                <w:sz w:val="17"/>
              </w:rPr>
              <w:t>8</w:t>
            </w:r>
          </w:p>
        </w:tc>
      </w:tr>
      <w:tr>
        <w:tc>
          <w:tcPr>
            <w:tcW w:type="dxa" w:w="2304"/>
          </w:tcPr>
          <w:p>
            <w:r>
              <w:rPr>
                <w:sz w:val="17"/>
              </w:rPr>
              <w:t>Assumptions</w:t>
            </w:r>
          </w:p>
        </w:tc>
        <w:tc>
          <w:tcPr>
            <w:tcW w:type="dxa" w:w="3744"/>
          </w:tcPr>
          <w:p>
            <w:r>
              <w:rPr>
                <w:sz w:val="17"/>
              </w:rPr>
              <w:t>Evaluation of conceptual soundness</w:t>
            </w:r>
          </w:p>
        </w:tc>
        <w:tc>
          <w:tcPr>
            <w:tcW w:type="dxa" w:w="2016"/>
          </w:tcPr>
          <w:p>
            <w:r>
              <w:rPr>
                <w:sz w:val="17"/>
              </w:rPr>
              <w:t>Completed</w:t>
            </w:r>
          </w:p>
        </w:tc>
        <w:tc>
          <w:tcPr>
            <w:tcW w:type="dxa" w:w="1440"/>
          </w:tcPr>
          <w:p>
            <w:r>
              <w:rPr>
                <w:sz w:val="17"/>
              </w:rPr>
              <w:t>3</w:t>
            </w:r>
          </w:p>
        </w:tc>
      </w:tr>
      <w:tr>
        <w:tc>
          <w:tcPr>
            <w:tcW w:type="dxa" w:w="2304"/>
          </w:tcPr>
          <w:p>
            <w:r>
              <w:rPr>
                <w:sz w:val="17"/>
              </w:rPr>
              <w:t>Backtesting</w:t>
            </w:r>
          </w:p>
        </w:tc>
        <w:tc>
          <w:tcPr>
            <w:tcW w:type="dxa" w:w="3744"/>
          </w:tcPr>
          <w:p>
            <w:r>
              <w:rPr>
                <w:sz w:val="17"/>
              </w:rPr>
              <w:t>Outcomes analysis</w:t>
            </w:r>
          </w:p>
        </w:tc>
        <w:tc>
          <w:tcPr>
            <w:tcW w:type="dxa" w:w="2016"/>
          </w:tcPr>
          <w:p>
            <w:r>
              <w:rPr>
                <w:sz w:val="17"/>
              </w:rPr>
              <w:t>Completed</w:t>
            </w:r>
          </w:p>
        </w:tc>
        <w:tc>
          <w:tcPr>
            <w:tcW w:type="dxa" w:w="1440"/>
          </w:tcPr>
          <w:p>
            <w:r>
              <w:rPr>
                <w:sz w:val="17"/>
              </w:rPr>
              <w:t>2</w:t>
            </w:r>
          </w:p>
        </w:tc>
      </w:tr>
      <w:tr>
        <w:tc>
          <w:tcPr>
            <w:tcW w:type="dxa" w:w="2304"/>
          </w:tcPr>
          <w:p>
            <w:r>
              <w:rPr>
                <w:sz w:val="17"/>
              </w:rPr>
              <w:t>Challenger Benchmarking</w:t>
            </w:r>
          </w:p>
        </w:tc>
        <w:tc>
          <w:tcPr>
            <w:tcW w:type="dxa" w:w="3744"/>
          </w:tcPr>
          <w:p>
            <w:r>
              <w:rPr>
                <w:sz w:val="17"/>
              </w:rPr>
              <w:t>Ongoing monitoring</w:t>
            </w:r>
          </w:p>
        </w:tc>
        <w:tc>
          <w:tcPr>
            <w:tcW w:type="dxa" w:w="2016"/>
          </w:tcPr>
          <w:p>
            <w:r>
              <w:rPr>
                <w:sz w:val="17"/>
              </w:rPr>
              <w:t>Completed</w:t>
            </w:r>
          </w:p>
        </w:tc>
        <w:tc>
          <w:tcPr>
            <w:tcW w:type="dxa" w:w="1440"/>
          </w:tcPr>
          <w:p>
            <w:r>
              <w:rPr>
                <w:sz w:val="17"/>
              </w:rPr>
              <w:t>2</w:t>
            </w:r>
          </w:p>
        </w:tc>
      </w:tr>
      <w:tr>
        <w:tc>
          <w:tcPr>
            <w:tcW w:type="dxa" w:w="2304"/>
          </w:tcPr>
          <w:p>
            <w:r>
              <w:rPr>
                <w:sz w:val="17"/>
              </w:rPr>
              <w:t>Sensitivity Analysis</w:t>
            </w:r>
          </w:p>
        </w:tc>
        <w:tc>
          <w:tcPr>
            <w:tcW w:type="dxa" w:w="3744"/>
          </w:tcPr>
          <w:p>
            <w:r>
              <w:rPr>
                <w:sz w:val="17"/>
              </w:rPr>
              <w:t>Evaluation of conceptual soundness</w:t>
            </w:r>
          </w:p>
        </w:tc>
        <w:tc>
          <w:tcPr>
            <w:tcW w:type="dxa" w:w="2016"/>
          </w:tcPr>
          <w:p>
            <w:r>
              <w:rPr>
                <w:sz w:val="17"/>
              </w:rPr>
              <w:t>Completed</w:t>
            </w:r>
          </w:p>
        </w:tc>
        <w:tc>
          <w:tcPr>
            <w:tcW w:type="dxa" w:w="1440"/>
          </w:tcPr>
          <w:p>
            <w:r>
              <w:rPr>
                <w:sz w:val="17"/>
              </w:rPr>
              <w:t>0</w:t>
            </w:r>
          </w:p>
        </w:tc>
      </w:tr>
    </w:tbl>
    <w:p>
      <w:r>
        <w:rPr>
          <w:b w:val="0"/>
          <w:i w:val="0"/>
          <w:color w:val="52514E"/>
          <w:sz w:val="16"/>
        </w:rPr>
        <w:t>Package validated (SHA-256 of each file, first 12 characters): model.json cfaa3e448304; model_package.yaml 00e5f78a0a77; test.csv b094907544c0; train.csv 02df3812dc98</w:t>
      </w:r>
    </w:p>
    <w:p>
      <w:pPr>
        <w:pStyle w:val="Heading1"/>
      </w:pPr>
      <w:r>
        <w:t>3. Findings summary</w:t>
      </w:r>
    </w:p>
    <w:tbl>
      <w:tblPr>
        <w:tblStyle w:val="TableGrid"/>
        <w:tblW w:type="auto" w:w="0"/>
        <w:jc w:val="center"/>
        <w:tblLayout w:type="fixed"/>
        <w:tblLook w:firstColumn="1" w:firstRow="1" w:lastColumn="0" w:lastRow="0" w:noHBand="0" w:noVBand="1" w:val="04A0"/>
      </w:tblPr>
      <w:tblGrid>
        <w:gridCol w:w="864"/>
        <w:gridCol w:w="1008"/>
        <w:gridCol w:w="3744"/>
        <w:gridCol w:w="1728"/>
        <w:gridCol w:w="1008"/>
        <w:gridCol w:w="1152"/>
      </w:tblGrid>
      <w:tr>
        <w:tc>
          <w:tcPr>
            <w:tcW w:type="dxa" w:w="864"/>
            <w:shd w:val="clear" w:color="auto" w:fill="F0EFEC"/>
          </w:tcPr>
          <w:p>
            <w:r>
              <w:rPr>
                <w:b/>
                <w:sz w:val="17"/>
              </w:rPr>
              <w:t>ID</w:t>
            </w:r>
          </w:p>
        </w:tc>
        <w:tc>
          <w:tcPr>
            <w:tcW w:type="dxa" w:w="1008"/>
            <w:shd w:val="clear" w:color="auto" w:fill="F0EFEC"/>
          </w:tcPr>
          <w:p>
            <w:r>
              <w:rPr>
                <w:b/>
                <w:sz w:val="17"/>
              </w:rPr>
              <w:t>Severity</w:t>
            </w:r>
          </w:p>
        </w:tc>
        <w:tc>
          <w:tcPr>
            <w:tcW w:type="dxa" w:w="3744"/>
            <w:shd w:val="clear" w:color="auto" w:fill="F0EFEC"/>
          </w:tcPr>
          <w:p>
            <w:r>
              <w:rPr>
                <w:b/>
                <w:sz w:val="17"/>
              </w:rPr>
              <w:t>Finding</w:t>
            </w:r>
          </w:p>
        </w:tc>
        <w:tc>
          <w:tcPr>
            <w:tcW w:type="dxa" w:w="1728"/>
            <w:shd w:val="clear" w:color="auto" w:fill="F0EFEC"/>
          </w:tcPr>
          <w:p>
            <w:r>
              <w:rPr>
                <w:b/>
                <w:sz w:val="17"/>
              </w:rPr>
              <w:t>Area</w:t>
            </w:r>
          </w:p>
        </w:tc>
        <w:tc>
          <w:tcPr>
            <w:tcW w:type="dxa" w:w="1008"/>
            <w:shd w:val="clear" w:color="auto" w:fill="F0EFEC"/>
          </w:tcPr>
          <w:p>
            <w:r>
              <w:rPr>
                <w:b/>
                <w:sz w:val="17"/>
              </w:rPr>
              <w:t>Review</w:t>
            </w:r>
          </w:p>
        </w:tc>
        <w:tc>
          <w:tcPr>
            <w:tcW w:type="dxa" w:w="1152"/>
            <w:shd w:val="clear" w:color="auto" w:fill="F0EFEC"/>
          </w:tcPr>
          <w:p>
            <w:r>
              <w:rPr>
                <w:b/>
                <w:sz w:val="17"/>
              </w:rPr>
              <w:t>Due</w:t>
            </w:r>
          </w:p>
        </w:tc>
      </w:tr>
      <w:tr>
        <w:tc>
          <w:tcPr>
            <w:tcW w:type="dxa" w:w="864"/>
          </w:tcPr>
          <w:p>
            <w:r>
              <w:rPr>
                <w:sz w:val="17"/>
              </w:rPr>
              <w:t>AS-001</w:t>
            </w:r>
          </w:p>
        </w:tc>
        <w:tc>
          <w:tcPr>
            <w:tcW w:type="dxa" w:w="1008"/>
            <w:shd w:val="clear" w:color="auto" w:fill="D03B3B"/>
          </w:tcPr>
          <w:p>
            <w:r>
              <w:rPr>
                <w:b/>
                <w:color w:val="FFFFFF"/>
                <w:sz w:val="17"/>
              </w:rPr>
              <w:t>High</w:t>
            </w:r>
          </w:p>
        </w:tc>
        <w:tc>
          <w:tcPr>
            <w:tcW w:type="dxa" w:w="3744"/>
          </w:tcPr>
          <w:p>
            <w:r>
              <w:rPr>
                <w:sz w:val="17"/>
              </w:rPr>
              <w:t>Multicollinearity among model features (severe)</w:t>
            </w:r>
          </w:p>
        </w:tc>
        <w:tc>
          <w:tcPr>
            <w:tcW w:type="dxa" w:w="1728"/>
          </w:tcPr>
          <w:p>
            <w:r>
              <w:rPr>
                <w:sz w:val="17"/>
              </w:rPr>
              <w:t>Assumptions</w:t>
            </w:r>
          </w:p>
        </w:tc>
        <w:tc>
          <w:tcPr>
            <w:tcW w:type="dxa" w:w="1008"/>
          </w:tcPr>
          <w:p>
            <w:r>
              <w:rPr>
                <w:sz w:val="17"/>
              </w:rPr>
              <w:t>Accepted</w:t>
            </w:r>
          </w:p>
        </w:tc>
        <w:tc>
          <w:tcPr>
            <w:tcW w:type="dxa" w:w="1152"/>
          </w:tcPr>
          <w:p>
            <w:r>
              <w:rPr>
                <w:sz w:val="17"/>
              </w:rPr>
              <w:t>2027-01-21</w:t>
            </w:r>
          </w:p>
        </w:tc>
      </w:tr>
      <w:tr>
        <w:tc>
          <w:tcPr>
            <w:tcW w:type="dxa" w:w="864"/>
          </w:tcPr>
          <w:p>
            <w:r>
              <w:rPr>
                <w:sz w:val="17"/>
              </w:rPr>
              <w:t>BT-001</w:t>
            </w:r>
          </w:p>
        </w:tc>
        <w:tc>
          <w:tcPr>
            <w:tcW w:type="dxa" w:w="1008"/>
            <w:shd w:val="clear" w:color="auto" w:fill="D03B3B"/>
          </w:tcPr>
          <w:p>
            <w:r>
              <w:rPr>
                <w:b/>
                <w:color w:val="FFFFFF"/>
                <w:sz w:val="17"/>
              </w:rPr>
              <w:t>High</w:t>
            </w:r>
          </w:p>
        </w:tc>
        <w:tc>
          <w:tcPr>
            <w:tcW w:type="dxa" w:w="3744"/>
          </w:tcPr>
          <w:p>
            <w:r>
              <w:rPr>
                <w:sz w:val="17"/>
              </w:rPr>
              <w:t>Model under-predicts defaults</w:t>
            </w:r>
          </w:p>
        </w:tc>
        <w:tc>
          <w:tcPr>
            <w:tcW w:type="dxa" w:w="1728"/>
          </w:tcPr>
          <w:p>
            <w:r>
              <w:rPr>
                <w:sz w:val="17"/>
              </w:rPr>
              <w:t>Backtesting</w:t>
            </w:r>
          </w:p>
        </w:tc>
        <w:tc>
          <w:tcPr>
            <w:tcW w:type="dxa" w:w="1008"/>
          </w:tcPr>
          <w:p>
            <w:r>
              <w:rPr>
                <w:sz w:val="17"/>
              </w:rPr>
              <w:t>Accepted</w:t>
            </w:r>
          </w:p>
        </w:tc>
        <w:tc>
          <w:tcPr>
            <w:tcW w:type="dxa" w:w="1152"/>
          </w:tcPr>
          <w:p>
            <w:r>
              <w:rPr>
                <w:sz w:val="17"/>
              </w:rPr>
              <w:t>2027-01-21</w:t>
            </w:r>
          </w:p>
        </w:tc>
      </w:tr>
      <w:tr>
        <w:tc>
          <w:tcPr>
            <w:tcW w:type="dxa" w:w="864"/>
          </w:tcPr>
          <w:p>
            <w:r>
              <w:rPr>
                <w:sz w:val="17"/>
              </w:rPr>
              <w:t>DQ-002</w:t>
            </w:r>
          </w:p>
        </w:tc>
        <w:tc>
          <w:tcPr>
            <w:tcW w:type="dxa" w:w="1008"/>
            <w:shd w:val="clear" w:color="auto" w:fill="D03B3B"/>
          </w:tcPr>
          <w:p>
            <w:r>
              <w:rPr>
                <w:b/>
                <w:color w:val="FFFFFF"/>
                <w:sz w:val="17"/>
              </w:rPr>
              <w:t>High</w:t>
            </w:r>
          </w:p>
        </w:tc>
        <w:tc>
          <w:tcPr>
            <w:tcW w:type="dxa" w:w="3744"/>
          </w:tcPr>
          <w:p>
            <w:r>
              <w:rPr>
                <w:sz w:val="17"/>
              </w:rPr>
              <w:t>Values outside documented valid ranges in development data</w:t>
            </w:r>
          </w:p>
        </w:tc>
        <w:tc>
          <w:tcPr>
            <w:tcW w:type="dxa" w:w="1728"/>
          </w:tcPr>
          <w:p>
            <w:r>
              <w:rPr>
                <w:sz w:val="17"/>
              </w:rPr>
              <w:t>Data Quality</w:t>
            </w:r>
          </w:p>
        </w:tc>
        <w:tc>
          <w:tcPr>
            <w:tcW w:type="dxa" w:w="1008"/>
          </w:tcPr>
          <w:p>
            <w:r>
              <w:rPr>
                <w:sz w:val="17"/>
              </w:rPr>
              <w:t>Accepted</w:t>
            </w:r>
          </w:p>
        </w:tc>
        <w:tc>
          <w:tcPr>
            <w:tcW w:type="dxa" w:w="1152"/>
          </w:tcPr>
          <w:p>
            <w:r>
              <w:rPr>
                <w:sz w:val="17"/>
              </w:rPr>
              <w:t>2027-01-21</w:t>
            </w:r>
          </w:p>
        </w:tc>
      </w:tr>
      <w:tr>
        <w:tc>
          <w:tcPr>
            <w:tcW w:type="dxa" w:w="864"/>
          </w:tcPr>
          <w:p>
            <w:r>
              <w:rPr>
                <w:sz w:val="17"/>
              </w:rPr>
              <w:t>DQ-003</w:t>
            </w:r>
          </w:p>
        </w:tc>
        <w:tc>
          <w:tcPr>
            <w:tcW w:type="dxa" w:w="1008"/>
            <w:shd w:val="clear" w:color="auto" w:fill="D03B3B"/>
          </w:tcPr>
          <w:p>
            <w:r>
              <w:rPr>
                <w:b/>
                <w:color w:val="FFFFFF"/>
                <w:sz w:val="17"/>
              </w:rPr>
              <w:t>High</w:t>
            </w:r>
          </w:p>
        </w:tc>
        <w:tc>
          <w:tcPr>
            <w:tcW w:type="dxa" w:w="3744"/>
          </w:tcPr>
          <w:p>
            <w:r>
              <w:rPr>
                <w:sz w:val="17"/>
              </w:rPr>
              <w:t>Suspected target leakage</w:t>
            </w:r>
          </w:p>
        </w:tc>
        <w:tc>
          <w:tcPr>
            <w:tcW w:type="dxa" w:w="1728"/>
          </w:tcPr>
          <w:p>
            <w:r>
              <w:rPr>
                <w:sz w:val="17"/>
              </w:rPr>
              <w:t>Data Quality</w:t>
            </w:r>
          </w:p>
        </w:tc>
        <w:tc>
          <w:tcPr>
            <w:tcW w:type="dxa" w:w="1008"/>
          </w:tcPr>
          <w:p>
            <w:r>
              <w:rPr>
                <w:sz w:val="17"/>
              </w:rPr>
              <w:t>Accepted</w:t>
            </w:r>
          </w:p>
        </w:tc>
        <w:tc>
          <w:tcPr>
            <w:tcW w:type="dxa" w:w="1152"/>
          </w:tcPr>
          <w:p>
            <w:r>
              <w:rPr>
                <w:sz w:val="17"/>
              </w:rPr>
              <w:t>2027-01-21</w:t>
            </w:r>
          </w:p>
        </w:tc>
      </w:tr>
      <w:tr>
        <w:tc>
          <w:tcPr>
            <w:tcW w:type="dxa" w:w="864"/>
          </w:tcPr>
          <w:p>
            <w:r>
              <w:rPr>
                <w:sz w:val="17"/>
              </w:rPr>
              <w:t>DQ-004</w:t>
            </w:r>
          </w:p>
        </w:tc>
        <w:tc>
          <w:tcPr>
            <w:tcW w:type="dxa" w:w="1008"/>
            <w:shd w:val="clear" w:color="auto" w:fill="D03B3B"/>
          </w:tcPr>
          <w:p>
            <w:r>
              <w:rPr>
                <w:b/>
                <w:color w:val="FFFFFF"/>
                <w:sz w:val="17"/>
              </w:rPr>
              <w:t>High</w:t>
            </w:r>
          </w:p>
        </w:tc>
        <w:tc>
          <w:tcPr>
            <w:tcW w:type="dxa" w:w="3744"/>
          </w:tcPr>
          <w:p>
            <w:r>
              <w:rPr>
                <w:sz w:val="17"/>
              </w:rPr>
              <w:t>Feature distribution shift between development and validation samples (significant)</w:t>
            </w:r>
          </w:p>
        </w:tc>
        <w:tc>
          <w:tcPr>
            <w:tcW w:type="dxa" w:w="1728"/>
          </w:tcPr>
          <w:p>
            <w:r>
              <w:rPr>
                <w:sz w:val="17"/>
              </w:rPr>
              <w:t>Data Quality</w:t>
            </w:r>
          </w:p>
        </w:tc>
        <w:tc>
          <w:tcPr>
            <w:tcW w:type="dxa" w:w="1008"/>
          </w:tcPr>
          <w:p>
            <w:r>
              <w:rPr>
                <w:sz w:val="17"/>
              </w:rPr>
              <w:t>Accepted</w:t>
            </w:r>
          </w:p>
        </w:tc>
        <w:tc>
          <w:tcPr>
            <w:tcW w:type="dxa" w:w="1152"/>
          </w:tcPr>
          <w:p>
            <w:r>
              <w:rPr>
                <w:sz w:val="17"/>
              </w:rPr>
              <w:t>2027-01-21</w:t>
            </w:r>
          </w:p>
        </w:tc>
      </w:tr>
      <w:tr>
        <w:tc>
          <w:tcPr>
            <w:tcW w:type="dxa" w:w="864"/>
          </w:tcPr>
          <w:p>
            <w:r>
              <w:rPr>
                <w:sz w:val="17"/>
              </w:rPr>
              <w:t>AS-002</w:t>
            </w:r>
          </w:p>
        </w:tc>
        <w:tc>
          <w:tcPr>
            <w:tcW w:type="dxa" w:w="1008"/>
            <w:shd w:val="clear" w:color="auto" w:fill="FAB219"/>
          </w:tcPr>
          <w:p>
            <w:r>
              <w:rPr>
                <w:b/>
                <w:color w:val="0B0B0B"/>
                <w:sz w:val="17"/>
              </w:rPr>
              <w:t>Medium</w:t>
            </w:r>
          </w:p>
        </w:tc>
        <w:tc>
          <w:tcPr>
            <w:tcW w:type="dxa" w:w="3744"/>
          </w:tcPr>
          <w:p>
            <w:r>
              <w:rPr>
                <w:sz w:val="17"/>
              </w:rPr>
              <w:t>Non-linear relationship with log-odds</w:t>
            </w:r>
          </w:p>
        </w:tc>
        <w:tc>
          <w:tcPr>
            <w:tcW w:type="dxa" w:w="1728"/>
          </w:tcPr>
          <w:p>
            <w:r>
              <w:rPr>
                <w:sz w:val="17"/>
              </w:rPr>
              <w:t>Assumptions</w:t>
            </w:r>
          </w:p>
        </w:tc>
        <w:tc>
          <w:tcPr>
            <w:tcW w:type="dxa" w:w="1008"/>
          </w:tcPr>
          <w:p>
            <w:r>
              <w:rPr>
                <w:sz w:val="17"/>
              </w:rPr>
              <w:t>Accepted</w:t>
            </w:r>
          </w:p>
        </w:tc>
        <w:tc>
          <w:tcPr>
            <w:tcW w:type="dxa" w:w="1152"/>
          </w:tcPr>
          <w:p>
            <w:r>
              <w:rPr>
                <w:sz w:val="17"/>
              </w:rPr>
              <w:t>2027-04-21</w:t>
            </w:r>
          </w:p>
        </w:tc>
      </w:tr>
      <w:tr>
        <w:tc>
          <w:tcPr>
            <w:tcW w:type="dxa" w:w="864"/>
          </w:tcPr>
          <w:p>
            <w:r>
              <w:rPr>
                <w:sz w:val="17"/>
              </w:rPr>
              <w:t>BT-002</w:t>
            </w:r>
          </w:p>
        </w:tc>
        <w:tc>
          <w:tcPr>
            <w:tcW w:type="dxa" w:w="1008"/>
            <w:shd w:val="clear" w:color="auto" w:fill="FAB219"/>
          </w:tcPr>
          <w:p>
            <w:r>
              <w:rPr>
                <w:b/>
                <w:color w:val="0B0B0B"/>
                <w:sz w:val="17"/>
              </w:rPr>
              <w:t>Medium</w:t>
            </w:r>
          </w:p>
        </w:tc>
        <w:tc>
          <w:tcPr>
            <w:tcW w:type="dxa" w:w="3744"/>
          </w:tcPr>
          <w:p>
            <w:r>
              <w:rPr>
                <w:sz w:val="17"/>
              </w:rPr>
              <w:t>Predicted PDs do not match observed default rates across risk deciles</w:t>
            </w:r>
          </w:p>
        </w:tc>
        <w:tc>
          <w:tcPr>
            <w:tcW w:type="dxa" w:w="1728"/>
          </w:tcPr>
          <w:p>
            <w:r>
              <w:rPr>
                <w:sz w:val="17"/>
              </w:rPr>
              <w:t>Backtesting</w:t>
            </w:r>
          </w:p>
        </w:tc>
        <w:tc>
          <w:tcPr>
            <w:tcW w:type="dxa" w:w="1008"/>
          </w:tcPr>
          <w:p>
            <w:r>
              <w:rPr>
                <w:sz w:val="17"/>
              </w:rPr>
              <w:t>Accepted</w:t>
            </w:r>
          </w:p>
        </w:tc>
        <w:tc>
          <w:tcPr>
            <w:tcW w:type="dxa" w:w="1152"/>
          </w:tcPr>
          <w:p>
            <w:r>
              <w:rPr>
                <w:sz w:val="17"/>
              </w:rPr>
              <w:t>2027-04-21</w:t>
            </w:r>
          </w:p>
        </w:tc>
      </w:tr>
      <w:tr>
        <w:tc>
          <w:tcPr>
            <w:tcW w:type="dxa" w:w="864"/>
          </w:tcPr>
          <w:p>
            <w:r>
              <w:rPr>
                <w:sz w:val="17"/>
              </w:rPr>
              <w:t>CH-001</w:t>
            </w:r>
          </w:p>
        </w:tc>
        <w:tc>
          <w:tcPr>
            <w:tcW w:type="dxa" w:w="1008"/>
            <w:shd w:val="clear" w:color="auto" w:fill="FAB219"/>
          </w:tcPr>
          <w:p>
            <w:r>
              <w:rPr>
                <w:b/>
                <w:color w:val="0B0B0B"/>
                <w:sz w:val="17"/>
              </w:rPr>
              <w:t>Medium</w:t>
            </w:r>
          </w:p>
        </w:tc>
        <w:tc>
          <w:tcPr>
            <w:tcW w:type="dxa" w:w="3744"/>
          </w:tcPr>
          <w:p>
            <w:r>
              <w:rPr>
                <w:sz w:val="17"/>
              </w:rPr>
              <w:t>Gradient boosting challenger outperforms the champion</w:t>
            </w:r>
          </w:p>
        </w:tc>
        <w:tc>
          <w:tcPr>
            <w:tcW w:type="dxa" w:w="1728"/>
          </w:tcPr>
          <w:p>
            <w:r>
              <w:rPr>
                <w:sz w:val="17"/>
              </w:rPr>
              <w:t>Challenger Benchmarking</w:t>
            </w:r>
          </w:p>
        </w:tc>
        <w:tc>
          <w:tcPr>
            <w:tcW w:type="dxa" w:w="1008"/>
          </w:tcPr>
          <w:p>
            <w:r>
              <w:rPr>
                <w:sz w:val="17"/>
              </w:rPr>
              <w:t>Accepted</w:t>
            </w:r>
          </w:p>
        </w:tc>
        <w:tc>
          <w:tcPr>
            <w:tcW w:type="dxa" w:w="1152"/>
          </w:tcPr>
          <w:p>
            <w:r>
              <w:rPr>
                <w:sz w:val="17"/>
              </w:rPr>
              <w:t>2027-04-21</w:t>
            </w:r>
          </w:p>
        </w:tc>
      </w:tr>
      <w:tr>
        <w:tc>
          <w:tcPr>
            <w:tcW w:type="dxa" w:w="864"/>
          </w:tcPr>
          <w:p>
            <w:r>
              <w:rPr>
                <w:sz w:val="17"/>
              </w:rPr>
              <w:t>CH-002</w:t>
            </w:r>
          </w:p>
        </w:tc>
        <w:tc>
          <w:tcPr>
            <w:tcW w:type="dxa" w:w="1008"/>
            <w:shd w:val="clear" w:color="auto" w:fill="FAB219"/>
          </w:tcPr>
          <w:p>
            <w:r>
              <w:rPr>
                <w:b/>
                <w:color w:val="0B0B0B"/>
                <w:sz w:val="17"/>
              </w:rPr>
              <w:t>Medium</w:t>
            </w:r>
          </w:p>
        </w:tc>
        <w:tc>
          <w:tcPr>
            <w:tcW w:type="dxa" w:w="3744"/>
          </w:tcPr>
          <w:p>
            <w:r>
              <w:rPr>
                <w:sz w:val="17"/>
              </w:rPr>
              <w:t>Random forest challenger outperforms the champion</w:t>
            </w:r>
          </w:p>
        </w:tc>
        <w:tc>
          <w:tcPr>
            <w:tcW w:type="dxa" w:w="1728"/>
          </w:tcPr>
          <w:p>
            <w:r>
              <w:rPr>
                <w:sz w:val="17"/>
              </w:rPr>
              <w:t>Challenger Benchmarking</w:t>
            </w:r>
          </w:p>
        </w:tc>
        <w:tc>
          <w:tcPr>
            <w:tcW w:type="dxa" w:w="1008"/>
          </w:tcPr>
          <w:p>
            <w:r>
              <w:rPr>
                <w:sz w:val="17"/>
              </w:rPr>
              <w:t>Accepted</w:t>
            </w:r>
          </w:p>
        </w:tc>
        <w:tc>
          <w:tcPr>
            <w:tcW w:type="dxa" w:w="1152"/>
          </w:tcPr>
          <w:p>
            <w:r>
              <w:rPr>
                <w:sz w:val="17"/>
              </w:rPr>
              <w:t>2027-04-21</w:t>
            </w:r>
          </w:p>
        </w:tc>
      </w:tr>
      <w:tr>
        <w:tc>
          <w:tcPr>
            <w:tcW w:type="dxa" w:w="864"/>
          </w:tcPr>
          <w:p>
            <w:r>
              <w:rPr>
                <w:sz w:val="17"/>
              </w:rPr>
              <w:t>DQ-005</w:t>
            </w:r>
          </w:p>
        </w:tc>
        <w:tc>
          <w:tcPr>
            <w:tcW w:type="dxa" w:w="1008"/>
            <w:shd w:val="clear" w:color="auto" w:fill="FAB219"/>
          </w:tcPr>
          <w:p>
            <w:r>
              <w:rPr>
                <w:b/>
                <w:color w:val="0B0B0B"/>
                <w:sz w:val="17"/>
              </w:rPr>
              <w:t>Medium</w:t>
            </w:r>
          </w:p>
        </w:tc>
        <w:tc>
          <w:tcPr>
            <w:tcW w:type="dxa" w:w="3744"/>
          </w:tcPr>
          <w:p>
            <w:r>
              <w:rPr>
                <w:sz w:val="17"/>
              </w:rPr>
              <w:t>Missing values in development data</w:t>
            </w:r>
          </w:p>
        </w:tc>
        <w:tc>
          <w:tcPr>
            <w:tcW w:type="dxa" w:w="1728"/>
          </w:tcPr>
          <w:p>
            <w:r>
              <w:rPr>
                <w:sz w:val="17"/>
              </w:rPr>
              <w:t>Data Quality</w:t>
            </w:r>
          </w:p>
        </w:tc>
        <w:tc>
          <w:tcPr>
            <w:tcW w:type="dxa" w:w="1008"/>
          </w:tcPr>
          <w:p>
            <w:r>
              <w:rPr>
                <w:sz w:val="17"/>
              </w:rPr>
              <w:t>Accepted</w:t>
            </w:r>
          </w:p>
        </w:tc>
        <w:tc>
          <w:tcPr>
            <w:tcW w:type="dxa" w:w="1152"/>
          </w:tcPr>
          <w:p>
            <w:r>
              <w:rPr>
                <w:sz w:val="17"/>
              </w:rPr>
              <w:t>2027-04-21</w:t>
            </w:r>
          </w:p>
        </w:tc>
      </w:tr>
      <w:tr>
        <w:tc>
          <w:tcPr>
            <w:tcW w:type="dxa" w:w="864"/>
          </w:tcPr>
          <w:p>
            <w:r>
              <w:rPr>
                <w:sz w:val="17"/>
              </w:rPr>
              <w:t>DQ-006</w:t>
            </w:r>
          </w:p>
        </w:tc>
        <w:tc>
          <w:tcPr>
            <w:tcW w:type="dxa" w:w="1008"/>
            <w:shd w:val="clear" w:color="auto" w:fill="FAB219"/>
          </w:tcPr>
          <w:p>
            <w:r>
              <w:rPr>
                <w:b/>
                <w:color w:val="0B0B0B"/>
                <w:sz w:val="17"/>
              </w:rPr>
              <w:t>Medium</w:t>
            </w:r>
          </w:p>
        </w:tc>
        <w:tc>
          <w:tcPr>
            <w:tcW w:type="dxa" w:w="3744"/>
          </w:tcPr>
          <w:p>
            <w:r>
              <w:rPr>
                <w:sz w:val="17"/>
              </w:rPr>
              <w:t>Duplicate records in development data</w:t>
            </w:r>
          </w:p>
        </w:tc>
        <w:tc>
          <w:tcPr>
            <w:tcW w:type="dxa" w:w="1728"/>
          </w:tcPr>
          <w:p>
            <w:r>
              <w:rPr>
                <w:sz w:val="17"/>
              </w:rPr>
              <w:t>Data Quality</w:t>
            </w:r>
          </w:p>
        </w:tc>
        <w:tc>
          <w:tcPr>
            <w:tcW w:type="dxa" w:w="1008"/>
          </w:tcPr>
          <w:p>
            <w:r>
              <w:rPr>
                <w:sz w:val="17"/>
              </w:rPr>
              <w:t>Accepted</w:t>
            </w:r>
          </w:p>
        </w:tc>
        <w:tc>
          <w:tcPr>
            <w:tcW w:type="dxa" w:w="1152"/>
          </w:tcPr>
          <w:p>
            <w:r>
              <w:rPr>
                <w:sz w:val="17"/>
              </w:rPr>
              <w:t>2027-04-21</w:t>
            </w:r>
          </w:p>
        </w:tc>
      </w:tr>
      <w:tr>
        <w:tc>
          <w:tcPr>
            <w:tcW w:type="dxa" w:w="864"/>
          </w:tcPr>
          <w:p>
            <w:r>
              <w:rPr>
                <w:sz w:val="17"/>
              </w:rPr>
              <w:t>DQ-007</w:t>
            </w:r>
          </w:p>
        </w:tc>
        <w:tc>
          <w:tcPr>
            <w:tcW w:type="dxa" w:w="1008"/>
            <w:shd w:val="clear" w:color="auto" w:fill="FAB219"/>
          </w:tcPr>
          <w:p>
            <w:r>
              <w:rPr>
                <w:b/>
                <w:color w:val="0B0B0B"/>
                <w:sz w:val="17"/>
              </w:rPr>
              <w:t>Medium</w:t>
            </w:r>
          </w:p>
        </w:tc>
        <w:tc>
          <w:tcPr>
            <w:tcW w:type="dxa" w:w="3744"/>
          </w:tcPr>
          <w:p>
            <w:r>
              <w:rPr>
                <w:sz w:val="17"/>
              </w:rPr>
              <w:t>Extreme outliers in development data</w:t>
            </w:r>
          </w:p>
        </w:tc>
        <w:tc>
          <w:tcPr>
            <w:tcW w:type="dxa" w:w="1728"/>
          </w:tcPr>
          <w:p>
            <w:r>
              <w:rPr>
                <w:sz w:val="17"/>
              </w:rPr>
              <w:t>Data Quality</w:t>
            </w:r>
          </w:p>
        </w:tc>
        <w:tc>
          <w:tcPr>
            <w:tcW w:type="dxa" w:w="1008"/>
          </w:tcPr>
          <w:p>
            <w:r>
              <w:rPr>
                <w:sz w:val="17"/>
              </w:rPr>
              <w:t>Accepted</w:t>
            </w:r>
          </w:p>
        </w:tc>
        <w:tc>
          <w:tcPr>
            <w:tcW w:type="dxa" w:w="1152"/>
          </w:tcPr>
          <w:p>
            <w:r>
              <w:rPr>
                <w:sz w:val="17"/>
              </w:rPr>
              <w:t>2027-04-21</w:t>
            </w:r>
          </w:p>
        </w:tc>
      </w:tr>
      <w:tr>
        <w:tc>
          <w:tcPr>
            <w:tcW w:type="dxa" w:w="864"/>
          </w:tcPr>
          <w:p>
            <w:r>
              <w:rPr>
                <w:sz w:val="17"/>
              </w:rPr>
              <w:t>DQ-008</w:t>
            </w:r>
          </w:p>
        </w:tc>
        <w:tc>
          <w:tcPr>
            <w:tcW w:type="dxa" w:w="1008"/>
            <w:shd w:val="clear" w:color="auto" w:fill="FAB219"/>
          </w:tcPr>
          <w:p>
            <w:r>
              <w:rPr>
                <w:b/>
                <w:color w:val="0B0B0B"/>
                <w:sz w:val="17"/>
              </w:rPr>
              <w:t>Medium</w:t>
            </w:r>
          </w:p>
        </w:tc>
        <w:tc>
          <w:tcPr>
            <w:tcW w:type="dxa" w:w="3744"/>
          </w:tcPr>
          <w:p>
            <w:r>
              <w:rPr>
                <w:sz w:val="17"/>
              </w:rPr>
              <w:t>Default rate differs materially between samples</w:t>
            </w:r>
          </w:p>
        </w:tc>
        <w:tc>
          <w:tcPr>
            <w:tcW w:type="dxa" w:w="1728"/>
          </w:tcPr>
          <w:p>
            <w:r>
              <w:rPr>
                <w:sz w:val="17"/>
              </w:rPr>
              <w:t>Data Quality</w:t>
            </w:r>
          </w:p>
        </w:tc>
        <w:tc>
          <w:tcPr>
            <w:tcW w:type="dxa" w:w="1008"/>
          </w:tcPr>
          <w:p>
            <w:r>
              <w:rPr>
                <w:sz w:val="17"/>
              </w:rPr>
              <w:t>Accepted</w:t>
            </w:r>
          </w:p>
        </w:tc>
        <w:tc>
          <w:tcPr>
            <w:tcW w:type="dxa" w:w="1152"/>
          </w:tcPr>
          <w:p>
            <w:r>
              <w:rPr>
                <w:sz w:val="17"/>
              </w:rPr>
              <w:t>2027-04-21</w:t>
            </w:r>
          </w:p>
        </w:tc>
      </w:tr>
      <w:tr>
        <w:tc>
          <w:tcPr>
            <w:tcW w:type="dxa" w:w="864"/>
          </w:tcPr>
          <w:p>
            <w:r>
              <w:rPr>
                <w:sz w:val="17"/>
              </w:rPr>
              <w:t>AS-003</w:t>
            </w:r>
          </w:p>
        </w:tc>
        <w:tc>
          <w:tcPr>
            <w:tcW w:type="dxa" w:w="1008"/>
            <w:shd w:val="clear" w:color="auto" w:fill="E1E0D9"/>
          </w:tcPr>
          <w:p>
            <w:r>
              <w:rPr>
                <w:b/>
                <w:color w:val="0B0B0B"/>
                <w:sz w:val="17"/>
              </w:rPr>
              <w:t>Low</w:t>
            </w:r>
          </w:p>
        </w:tc>
        <w:tc>
          <w:tcPr>
            <w:tcW w:type="dxa" w:w="3744"/>
          </w:tcPr>
          <w:p>
            <w:r>
              <w:rPr>
                <w:sz w:val="17"/>
              </w:rPr>
              <w:t>Features without statistically significant effect</w:t>
            </w:r>
          </w:p>
        </w:tc>
        <w:tc>
          <w:tcPr>
            <w:tcW w:type="dxa" w:w="1728"/>
          </w:tcPr>
          <w:p>
            <w:r>
              <w:rPr>
                <w:sz w:val="17"/>
              </w:rPr>
              <w:t>Assumptions</w:t>
            </w:r>
          </w:p>
        </w:tc>
        <w:tc>
          <w:tcPr>
            <w:tcW w:type="dxa" w:w="1008"/>
          </w:tcPr>
          <w:p>
            <w:r>
              <w:rPr>
                <w:sz w:val="17"/>
              </w:rPr>
              <w:t>Edited</w:t>
            </w:r>
          </w:p>
        </w:tc>
        <w:tc>
          <w:tcPr>
            <w:tcW w:type="dxa" w:w="1152"/>
          </w:tcPr>
          <w:p>
            <w:r>
              <w:rPr>
                <w:sz w:val="17"/>
              </w:rPr>
              <w:t>2027-10-23</w:t>
            </w:r>
          </w:p>
        </w:tc>
      </w:tr>
    </w:tbl>
    <w:p>
      <w:pPr>
        <w:pStyle w:val="Heading1"/>
      </w:pPr>
      <w:r>
        <w:t>4. Detailed findings</w:t>
      </w:r>
    </w:p>
    <w:p>
      <w:pPr>
        <w:pStyle w:val="Heading2"/>
      </w:pPr>
      <w:r>
        <w:t>Data Quality</w:t>
      </w:r>
    </w:p>
    <w:p>
      <w:r>
        <w:t>The Data Quality review of Retail Unsecured Loan PD Scorecard identified 7 finding(s) (3 high, 4 medium severity). High-severity items: Values outside documented valid ranges in development data; Suspected target leakage; Feature distribution shift between development and validation samples (significant).</w:t>
      </w:r>
    </w:p>
    <w:p>
      <w:pPr>
        <w:pStyle w:val="Heading3"/>
      </w:pPr>
      <w:r>
        <w:t>DQ-002 · Values outside documented valid ranges in development data</w:t>
      </w:r>
    </w:p>
    <w:p>
      <w:r>
        <w:rPr>
          <w:b w:val="0"/>
          <w:i w:val="0"/>
          <w:color w:val="52514E"/>
          <w:sz w:val="17"/>
        </w:rPr>
        <w:t>Severity: High · Evaluation of conceptual soundness · Review: accepted · Remediation due 2027-01-21</w:t>
      </w:r>
    </w:p>
    <w:p>
      <w:r>
        <w:t>Impossible or undocumented values found: age (12 rows outside [18.0, 100.0]).</w:t>
      </w:r>
    </w:p>
    <w:p>
      <w:r>
        <w:rPr>
          <w:b/>
          <w:i w:val="0"/>
          <w:sz w:val="18"/>
        </w:rPr>
        <w:t>Evidence</w:t>
      </w:r>
    </w:p>
    <w:p>
      <w:pPr>
        <w:pStyle w:val="ListBullet"/>
      </w:pPr>
      <w:r>
        <w:rPr>
          <w:sz w:val="17"/>
        </w:rPr>
        <w:t>dataset: development</w:t>
      </w:r>
    </w:p>
    <w:p>
      <w:pPr>
        <w:pStyle w:val="ListBullet"/>
      </w:pPr>
      <w:r>
        <w:rPr>
          <w:sz w:val="17"/>
        </w:rPr>
        <w:t>violations: {age: {count: 12, allowed: [18, 100], observed_min: -1, observed_max: 150}}</w:t>
      </w:r>
    </w:p>
    <w:p>
      <w:r>
        <w:rPr>
          <w:b/>
        </w:rPr>
        <w:t xml:space="preserve">Recommendation: </w:t>
      </w:r>
      <w:r>
        <w:t>Trace the records to source, correct or exclude them, and add range validation to the data pipeline.</w:t>
      </w:r>
    </w:p>
    <w:p>
      <w:pPr>
        <w:pStyle w:val="Heading3"/>
      </w:pPr>
      <w:r>
        <w:t>DQ-003 · Suspected target leakage</w:t>
      </w:r>
    </w:p>
    <w:p>
      <w:r>
        <w:rPr>
          <w:b w:val="0"/>
          <w:i w:val="0"/>
          <w:color w:val="52514E"/>
          <w:sz w:val="17"/>
        </w:rPr>
        <w:t>Severity: High · Evaluation of conceptual soundness · Review: accepted · Remediation due 2027-01-21</w:t>
      </w:r>
    </w:p>
    <w:p>
      <w:r>
        <w:t>On its own, recovery_amount (AUC 1.000) separates defaulters from non-defaulters almost perfectly. A feature this predictive is usually only observable after the outcome.</w:t>
      </w:r>
    </w:p>
    <w:p>
      <w:r>
        <w:rPr>
          <w:b/>
          <w:i w:val="0"/>
          <w:sz w:val="18"/>
        </w:rPr>
        <w:t>Evidence</w:t>
      </w:r>
    </w:p>
    <w:p>
      <w:pPr>
        <w:pStyle w:val="ListBullet"/>
      </w:pPr>
      <w:r>
        <w:rPr>
          <w:sz w:val="17"/>
        </w:rPr>
        <w:t>univariate_auc: {recovery_amount: 1}</w:t>
      </w:r>
    </w:p>
    <w:p>
      <w:pPr>
        <w:pStyle w:val="ListBullet"/>
      </w:pPr>
      <w:r>
        <w:rPr>
          <w:sz w:val="17"/>
        </w:rPr>
        <w:t>threshold: 0.95</w:t>
      </w:r>
    </w:p>
    <w:p>
      <w:r>
        <w:rPr>
          <w:b/>
        </w:rPr>
        <w:t xml:space="preserve">Recommendation: </w:t>
      </w:r>
      <w:r>
        <w:t>Confirm each feature's availability at the decision (application) date; remove any post-outcome variable and re-estimate the model.</w:t>
      </w:r>
    </w:p>
    <w:p>
      <w:pPr>
        <w:pStyle w:val="Heading3"/>
      </w:pPr>
      <w:r>
        <w:t>DQ-004 · Feature distribution shift between development and validation samples (significant)</w:t>
      </w:r>
    </w:p>
    <w:p>
      <w:r>
        <w:rPr>
          <w:b w:val="0"/>
          <w:i w:val="0"/>
          <w:color w:val="52514E"/>
          <w:sz w:val="17"/>
        </w:rPr>
        <w:t>Severity: High · Ongoing monitoring · Review: accepted · Remediation due 2027-01-21</w:t>
      </w:r>
    </w:p>
    <w:p>
      <w:r>
        <w:t>Population Stability Index above 0.25: credit_utilization (PSI 0.662), utilization_6m_avg (PSI 0.449).</w:t>
      </w:r>
    </w:p>
    <w:p>
      <w:r>
        <w:rPr>
          <w:b/>
          <w:i w:val="0"/>
          <w:sz w:val="18"/>
        </w:rPr>
        <w:t>Evidence</w:t>
      </w:r>
    </w:p>
    <w:p>
      <w:pPr>
        <w:pStyle w:val="ListBullet"/>
      </w:pPr>
      <w:r>
        <w:rPr>
          <w:sz w:val="17"/>
        </w:rPr>
        <w:t>psi: {credit_utilization: 0.6625, utilization_6m_avg: 0.449}</w:t>
      </w:r>
    </w:p>
    <w:p>
      <w:pPr>
        <w:pStyle w:val="ListBullet"/>
      </w:pPr>
      <w:r>
        <w:rPr>
          <w:sz w:val="17"/>
        </w:rPr>
        <w:t>threshold: 0.25</w:t>
      </w:r>
    </w:p>
    <w:p>
      <w:r>
        <w:rPr>
          <w:b/>
        </w:rPr>
        <w:t xml:space="preserve">Recommendation: </w:t>
      </w:r>
      <w:r>
        <w:t>Investigate drivers of the shift (policy, channel, macro) and confirm the model remains fit for the current population; re-test performance on the shifted segment.</w:t>
      </w:r>
    </w:p>
    <w:p>
      <w:pPr>
        <w:pStyle w:val="Heading3"/>
      </w:pPr>
      <w:r>
        <w:t>DQ-005 · Missing values in development data</w:t>
      </w:r>
    </w:p>
    <w:p>
      <w:r>
        <w:rPr>
          <w:b w:val="0"/>
          <w:i w:val="0"/>
          <w:color w:val="52514E"/>
          <w:sz w:val="17"/>
        </w:rPr>
        <w:t>Severity: Medium · Evaluation of conceptual soundness · Review: accepted · Remediation due 2027-04-21</w:t>
      </w:r>
    </w:p>
    <w:p>
      <w:r>
        <w:t>1 column(s) in the development sample contain missing values: annual_income (7.9%).</w:t>
      </w:r>
    </w:p>
    <w:p>
      <w:r>
        <w:rPr>
          <w:b/>
          <w:i w:val="0"/>
          <w:sz w:val="18"/>
        </w:rPr>
        <w:t>Evidence</w:t>
      </w:r>
    </w:p>
    <w:p>
      <w:pPr>
        <w:pStyle w:val="ListBullet"/>
      </w:pPr>
      <w:r>
        <w:rPr>
          <w:sz w:val="17"/>
        </w:rPr>
        <w:t>dataset: development</w:t>
      </w:r>
    </w:p>
    <w:p>
      <w:pPr>
        <w:pStyle w:val="ListBullet"/>
      </w:pPr>
      <w:r>
        <w:rPr>
          <w:sz w:val="17"/>
        </w:rPr>
        <w:t>missing_rate: {annual_income: 0.0788}</w:t>
      </w:r>
    </w:p>
    <w:p>
      <w:r>
        <w:rPr>
          <w:b/>
        </w:rPr>
        <w:t xml:space="preserve">Recommendation: </w:t>
      </w:r>
      <w:r>
        <w:t>Confirm the root cause of missingness (system outage, optional field, data feed), document the treatment applied by the developer, and test whether missingness is correlated with the target or model output.</w:t>
      </w:r>
    </w:p>
    <w:p>
      <w:pPr>
        <w:pStyle w:val="Heading3"/>
      </w:pPr>
      <w:r>
        <w:t>DQ-006 · Duplicate records in development data</w:t>
      </w:r>
    </w:p>
    <w:p>
      <w:r>
        <w:rPr>
          <w:b w:val="0"/>
          <w:i w:val="0"/>
          <w:color w:val="52514E"/>
          <w:sz w:val="17"/>
        </w:rPr>
        <w:t>Severity: Medium · Evaluation of conceptual soundness · Review: accepted · Remediation due 2027-04-21</w:t>
      </w:r>
    </w:p>
    <w:p>
      <w:r>
        <w:t>139 of 8160 rows (1.70%) in the development sample are exact duplicates.</w:t>
      </w:r>
    </w:p>
    <w:p>
      <w:r>
        <w:rPr>
          <w:b/>
          <w:i w:val="0"/>
          <w:sz w:val="18"/>
        </w:rPr>
        <w:t>Evidence</w:t>
      </w:r>
    </w:p>
    <w:p>
      <w:pPr>
        <w:pStyle w:val="ListBullet"/>
      </w:pPr>
      <w:r>
        <w:rPr>
          <w:sz w:val="17"/>
        </w:rPr>
        <w:t>dataset: development</w:t>
      </w:r>
    </w:p>
    <w:p>
      <w:pPr>
        <w:pStyle w:val="ListBullet"/>
      </w:pPr>
      <w:r>
        <w:rPr>
          <w:sz w:val="17"/>
        </w:rPr>
        <w:t>duplicate_rows: 139</w:t>
      </w:r>
    </w:p>
    <w:p>
      <w:pPr>
        <w:pStyle w:val="ListBullet"/>
      </w:pPr>
      <w:r>
        <w:rPr>
          <w:sz w:val="17"/>
        </w:rPr>
        <w:t>rows: 8160</w:t>
      </w:r>
    </w:p>
    <w:p>
      <w:pPr>
        <w:pStyle w:val="ListBullet"/>
      </w:pPr>
      <w:r>
        <w:rPr>
          <w:sz w:val="17"/>
        </w:rPr>
        <w:t>rate: 0.017</w:t>
      </w:r>
    </w:p>
    <w:p>
      <w:r>
        <w:rPr>
          <w:b/>
        </w:rPr>
        <w:t xml:space="preserve">Recommendation: </w:t>
      </w:r>
      <w:r>
        <w:t>Remove duplicates before estimation and re-run development tests; duplicated records overweight some observations and understate standard errors.</w:t>
      </w:r>
    </w:p>
    <w:p>
      <w:pPr>
        <w:pStyle w:val="Heading3"/>
      </w:pPr>
      <w:r>
        <w:t>DQ-007 · Extreme outliers in development data</w:t>
      </w:r>
    </w:p>
    <w:p>
      <w:r>
        <w:rPr>
          <w:b w:val="0"/>
          <w:i w:val="0"/>
          <w:color w:val="52514E"/>
          <w:sz w:val="17"/>
        </w:rPr>
        <w:t>Severity: Medium · Evaluation of conceptual soundness · Review: accepted · Remediation due 2027-04-21</w:t>
      </w:r>
    </w:p>
    <w:p>
      <w:r>
        <w:t>Values more than 6 robust standard deviations from the median: annual_income (120 rows).</w:t>
      </w:r>
    </w:p>
    <w:p>
      <w:r>
        <w:rPr>
          <w:b/>
          <w:i w:val="0"/>
          <w:sz w:val="18"/>
        </w:rPr>
        <w:t>Evidence</w:t>
      </w:r>
    </w:p>
    <w:p>
      <w:pPr>
        <w:pStyle w:val="ListBullet"/>
      </w:pPr>
      <w:r>
        <w:rPr>
          <w:sz w:val="17"/>
        </w:rPr>
        <w:t>dataset: development</w:t>
      </w:r>
    </w:p>
    <w:p>
      <w:pPr>
        <w:pStyle w:val="ListBullet"/>
      </w:pPr>
      <w:r>
        <w:rPr>
          <w:sz w:val="17"/>
        </w:rPr>
        <w:t>z_threshold: 6</w:t>
      </w:r>
    </w:p>
    <w:p>
      <w:pPr>
        <w:pStyle w:val="ListBullet"/>
      </w:pPr>
      <w:r>
        <w:rPr>
          <w:sz w:val="17"/>
        </w:rPr>
        <w:t>features: {annual_income: {count: 120, share: 0.0147, max_value: 1e+08}}</w:t>
      </w:r>
    </w:p>
    <w:p>
      <w:r>
        <w:rPr>
          <w:b/>
        </w:rPr>
        <w:t xml:space="preserve">Recommendation: </w:t>
      </w:r>
      <w:r>
        <w:t>Determine whether these are data-entry errors or genuine extremes; document the capping or winsorisation rule and test model sensitivity to it.</w:t>
      </w:r>
    </w:p>
    <w:p>
      <w:pPr>
        <w:pStyle w:val="Heading3"/>
      </w:pPr>
      <w:r>
        <w:t>DQ-008 · Default rate differs materially between samples</w:t>
      </w:r>
    </w:p>
    <w:p>
      <w:r>
        <w:rPr>
          <w:b w:val="0"/>
          <w:i w:val="0"/>
          <w:color w:val="52514E"/>
          <w:sz w:val="17"/>
        </w:rPr>
        <w:t>Severity: Medium · Ongoing monitoring · Review: accepted · Remediation due 2027-04-21</w:t>
      </w:r>
    </w:p>
    <w:p>
      <w:r>
        <w:t>Default rate moved from 12.71% (development) to 21.03% (validation).</w:t>
      </w:r>
    </w:p>
    <w:p>
      <w:r>
        <w:rPr>
          <w:b/>
          <w:i w:val="0"/>
          <w:sz w:val="18"/>
        </w:rPr>
        <w:t>Evidence</w:t>
      </w:r>
    </w:p>
    <w:p>
      <w:pPr>
        <w:pStyle w:val="ListBullet"/>
      </w:pPr>
      <w:r>
        <w:rPr>
          <w:sz w:val="17"/>
        </w:rPr>
        <w:t>train_rate: 0.1271</w:t>
      </w:r>
    </w:p>
    <w:p>
      <w:pPr>
        <w:pStyle w:val="ListBullet"/>
      </w:pPr>
      <w:r>
        <w:rPr>
          <w:sz w:val="17"/>
        </w:rPr>
        <w:t>test_rate: 0.2103</w:t>
      </w:r>
    </w:p>
    <w:p>
      <w:r>
        <w:rPr>
          <w:b/>
        </w:rPr>
        <w:t xml:space="preserve">Recommendation: </w:t>
      </w:r>
      <w:r>
        <w:t>Assess whether the shift reflects the credit cycle or a population change; consider recalibration.</w:t>
      </w:r>
    </w:p>
    <w:p>
      <w:pPr>
        <w:pStyle w:val="Heading2"/>
      </w:pPr>
      <w:r>
        <w:t>Assumptions</w:t>
      </w:r>
    </w:p>
    <w:p>
      <w:r>
        <w:t>The Assumptions review of Retail Unsecured Loan PD Scorecard identified 3 finding(s) (1 high, 1 medium, 1 low severity). High-severity items: Multicollinearity among model features (severe).</w:t>
      </w:r>
    </w:p>
    <w:p>
      <w:pPr>
        <w:pStyle w:val="Heading3"/>
      </w:pPr>
      <w:r>
        <w:t>AS-001 · Multicollinearity among model features (severe)</w:t>
      </w:r>
    </w:p>
    <w:p>
      <w:r>
        <w:rPr>
          <w:b w:val="0"/>
          <w:i w:val="0"/>
          <w:color w:val="52514E"/>
          <w:sz w:val="17"/>
        </w:rPr>
        <w:t>Severity: High · Evaluation of conceptual soundness · Review: accepted · Remediation due 2027-01-21</w:t>
      </w:r>
    </w:p>
    <w:p>
      <w:r>
        <w:t>Variance inflation factors above 10: credit_utilization (VIF 35.6), utilization_6m_avg (VIF 35.6). Coefficients of collinear features are unstable and their signs cannot be interpreted.</w:t>
      </w:r>
    </w:p>
    <w:p>
      <w:r>
        <w:rPr>
          <w:b/>
          <w:i w:val="0"/>
          <w:sz w:val="18"/>
        </w:rPr>
        <w:t>Evidence</w:t>
      </w:r>
    </w:p>
    <w:p>
      <w:pPr>
        <w:pStyle w:val="ListBullet"/>
      </w:pPr>
      <w:r>
        <w:rPr>
          <w:sz w:val="17"/>
        </w:rPr>
        <w:t>vif: {credit_utilization: 35.6, utilization_6m_avg: 35.6}</w:t>
      </w:r>
    </w:p>
    <w:p>
      <w:pPr>
        <w:pStyle w:val="ListBullet"/>
      </w:pPr>
      <w:r>
        <w:rPr>
          <w:sz w:val="17"/>
        </w:rPr>
        <w:t>threshold: 10</w:t>
      </w:r>
    </w:p>
    <w:p>
      <w:pPr>
        <w:pStyle w:val="ListBullet"/>
      </w:pPr>
      <w:r>
        <w:rPr>
          <w:sz w:val="17"/>
        </w:rPr>
        <w:t>correlations: {credit_utilization ~ utilization_6m_avg: 0.986}</w:t>
      </w:r>
    </w:p>
    <w:p>
      <w:r>
        <w:rPr>
          <w:b/>
        </w:rPr>
        <w:t xml:space="preserve">Recommendation: </w:t>
      </w:r>
      <w:r>
        <w:t>Keep one feature from each collinear group (or combine them), re-estimate, and confirm the remaining coefficients have the expected signs.</w:t>
      </w:r>
    </w:p>
    <w:p>
      <w:pPr>
        <w:pStyle w:val="Heading3"/>
      </w:pPr>
      <w:r>
        <w:t>AS-002 · Non-linear relationship with log-odds</w:t>
      </w:r>
    </w:p>
    <w:p>
      <w:r>
        <w:rPr>
          <w:b w:val="0"/>
          <w:i w:val="0"/>
          <w:color w:val="52514E"/>
          <w:sz w:val="17"/>
        </w:rPr>
        <w:t>Severity: Medium · Evaluation of conceptual soundness · Review: accepted · Remediation due 2027-04-21</w:t>
      </w:r>
    </w:p>
    <w:p>
      <w:r>
        <w:t>Adding a squared term significantly improves fit (Bonferroni-adjusted) for: annual_income (adjusted p &lt; 0.0001), debt_to_income (adjusted p &lt; 0.0001). This contradicts the documented assumption that log-odds are linear in the features.</w:t>
      </w:r>
    </w:p>
    <w:p>
      <w:r>
        <w:rPr>
          <w:b/>
          <w:i w:val="0"/>
          <w:sz w:val="18"/>
        </w:rPr>
        <w:t>Evidence</w:t>
      </w:r>
    </w:p>
    <w:p>
      <w:pPr>
        <w:pStyle w:val="ListBullet"/>
      </w:pPr>
      <w:r>
        <w:rPr>
          <w:sz w:val="17"/>
        </w:rPr>
        <w:t>lr_test_p_values: {annual_income: 0, debt_to_income: 0}</w:t>
      </w:r>
    </w:p>
    <w:p>
      <w:r>
        <w:rPr>
          <w:b/>
        </w:rPr>
        <w:t xml:space="preserve">Recommendation: </w:t>
      </w:r>
      <w:r>
        <w:t>Consider binning (WoE), a transformation or a spline for these features.</w:t>
      </w:r>
    </w:p>
    <w:p>
      <w:pPr>
        <w:pStyle w:val="Heading3"/>
      </w:pPr>
      <w:r>
        <w:t>AS-003 · Features without statistically significant effect</w:t>
      </w:r>
    </w:p>
    <w:p>
      <w:r>
        <w:rPr>
          <w:b w:val="0"/>
          <w:i w:val="0"/>
          <w:color w:val="52514E"/>
          <w:sz w:val="17"/>
        </w:rPr>
        <w:t>Severity: Low · Evaluation of conceptual soundness · Review: edited · Remediation due 2027-10-23</w:t>
      </w:r>
    </w:p>
    <w:p>
      <w:r>
        <w:t>In the independent re-estimation these features are not significant at 5% (|z| &lt; 1.96): credit_utilization (z = 0.97), num_open_accounts (z = 0.14), loan_amount (z = -0.26).</w:t>
      </w:r>
    </w:p>
    <w:p>
      <w:r>
        <w:rPr>
          <w:b/>
          <w:i w:val="0"/>
          <w:sz w:val="18"/>
        </w:rPr>
        <w:t>Evidence</w:t>
      </w:r>
    </w:p>
    <w:p>
      <w:pPr>
        <w:pStyle w:val="ListBullet"/>
      </w:pPr>
      <w:r>
        <w:rPr>
          <w:sz w:val="17"/>
        </w:rPr>
        <w:t>z_statistics: {credit_utilization: 0.97, num_open_accounts: 0.14, loan_amount: -0.26}</w:t>
      </w:r>
    </w:p>
    <w:p>
      <w:r>
        <w:rPr>
          <w:b/>
        </w:rPr>
        <w:t xml:space="preserve">Recommendation: </w:t>
      </w:r>
      <w:r>
        <w:t>Resolve together with AS-001 (multicollinearity).</w:t>
      </w:r>
    </w:p>
    <w:p>
      <w:r>
        <w:rPr>
          <w:b/>
        </w:rPr>
        <w:t xml:space="preserve">Validator note (Demo reviewer): </w:t>
      </w:r>
      <w:r>
        <w:t>Insignificance of utilisation is a symptom of the collinearity in AS-001.</w:t>
      </w:r>
    </w:p>
    <w:p>
      <w:pPr>
        <w:pStyle w:val="Heading2"/>
      </w:pPr>
      <w:r>
        <w:t>Backtesting</w:t>
      </w:r>
    </w:p>
    <w:p>
      <w:r>
        <w:t>The Backtesting review of Retail Unsecured Loan PD Scorecard identified 2 finding(s) (1 high, 1 medium severity). High-severity items: Model under-predicts defaults.</w:t>
      </w:r>
    </w:p>
    <w:p>
      <w:pPr>
        <w:jc w:val="center"/>
      </w:pPr>
      <w:r>
        <w:drawing>
          <wp:inline xmlns:a="http://schemas.openxmlformats.org/drawingml/2006/main" xmlns:pic="http://schemas.openxmlformats.org/drawingml/2006/picture">
            <wp:extent cx="5669280" cy="2616591"/>
            <wp:docPr id="1" name="Picture 1"/>
            <wp:cNvGraphicFramePr>
              <a:graphicFrameLocks noChangeAspect="1"/>
            </wp:cNvGraphicFramePr>
            <a:graphic>
              <a:graphicData uri="http://schemas.openxmlformats.org/drawingml/2006/picture">
                <pic:pic>
                  <pic:nvPicPr>
                    <pic:cNvPr id="0" name="calibration.png"/>
                    <pic:cNvPicPr/>
                  </pic:nvPicPr>
                  <pic:blipFill>
                    <a:blip r:embed="rId10"/>
                    <a:stretch>
                      <a:fillRect/>
                    </a:stretch>
                  </pic:blipFill>
                  <pic:spPr>
                    <a:xfrm>
                      <a:off x="0" y="0"/>
                      <a:ext cx="5669280" cy="2616591"/>
                    </a:xfrm>
                    <a:prstGeom prst="rect"/>
                  </pic:spPr>
                </pic:pic>
              </a:graphicData>
            </a:graphic>
          </wp:inline>
        </w:drawing>
      </w:r>
    </w:p>
    <w:p>
      <w:r>
        <w:rPr>
          <w:b w:val="0"/>
          <w:i/>
          <w:color w:val="52514E"/>
          <w:sz w:val="16"/>
        </w:rPr>
        <w:t>Mean predicted PD and observed default rate by decile of predicted PD.</w:t>
      </w:r>
    </w:p>
    <w:p>
      <w:pPr>
        <w:pStyle w:val="Heading3"/>
      </w:pPr>
      <w:r>
        <w:t>BT-001 · Model under-predicts defaults</w:t>
      </w:r>
    </w:p>
    <w:p>
      <w:r>
        <w:rPr>
          <w:b w:val="0"/>
          <w:i w:val="0"/>
          <w:color w:val="52514E"/>
          <w:sz w:val="17"/>
        </w:rPr>
        <w:t>Severity: High · Outcomes analysis · Review: accepted · Remediation due 2027-01-21</w:t>
      </w:r>
    </w:p>
    <w:p>
      <w:r>
        <w:t>631 defaults observed against 491 predicted (observed rate 21.03% vs mean PD 16.35%; z = 7.81, p = 5.7e-15). Under-prediction is non-conservative: losses, pricing and reserves would be understated.</w:t>
      </w:r>
    </w:p>
    <w:p>
      <w:r>
        <w:rPr>
          <w:b/>
          <w:i w:val="0"/>
          <w:sz w:val="18"/>
        </w:rPr>
        <w:t>Evidence</w:t>
      </w:r>
    </w:p>
    <w:p>
      <w:pPr>
        <w:pStyle w:val="ListBullet"/>
      </w:pPr>
      <w:r>
        <w:rPr>
          <w:sz w:val="17"/>
        </w:rPr>
        <w:t>observed_defaults: 631</w:t>
      </w:r>
    </w:p>
    <w:p>
      <w:pPr>
        <w:pStyle w:val="ListBullet"/>
      </w:pPr>
      <w:r>
        <w:rPr>
          <w:sz w:val="17"/>
        </w:rPr>
        <w:t>expected_defaults: 490.6</w:t>
      </w:r>
    </w:p>
    <w:p>
      <w:pPr>
        <w:pStyle w:val="ListBullet"/>
      </w:pPr>
      <w:r>
        <w:rPr>
          <w:sz w:val="17"/>
        </w:rPr>
        <w:t>calibration_z: 7.81</w:t>
      </w:r>
    </w:p>
    <w:p>
      <w:pPr>
        <w:pStyle w:val="ListBullet"/>
      </w:pPr>
      <w:r>
        <w:rPr>
          <w:sz w:val="17"/>
        </w:rPr>
        <w:t>calibration_p: 0</w:t>
      </w:r>
    </w:p>
    <w:p>
      <w:r>
        <w:rPr>
          <w:b/>
        </w:rPr>
        <w:t xml:space="preserve">Recommendation: </w:t>
      </w:r>
      <w:r>
        <w:t>Recalibrate the intercept to the current default rate (or a through-the-cycle target) and document the calibration target.</w:t>
      </w:r>
    </w:p>
    <w:p>
      <w:pPr>
        <w:pStyle w:val="Heading3"/>
      </w:pPr>
      <w:r>
        <w:t>BT-002 · Predicted PDs do not match observed default rates across risk deciles</w:t>
      </w:r>
    </w:p>
    <w:p>
      <w:r>
        <w:rPr>
          <w:b w:val="0"/>
          <w:i w:val="0"/>
          <w:color w:val="52514E"/>
          <w:sz w:val="17"/>
        </w:rPr>
        <w:t>Severity: Medium · Outcomes analysis · Review: accepted · Remediation due 2027-04-21</w:t>
      </w:r>
    </w:p>
    <w:p>
      <w:r>
        <w:t>Hosmer-Lemeshow test on the validation sample: statistic 78.6, p = 9.3e-14.</w:t>
      </w:r>
    </w:p>
    <w:p>
      <w:r>
        <w:rPr>
          <w:b/>
          <w:i w:val="0"/>
          <w:sz w:val="18"/>
        </w:rPr>
        <w:t>Evidence</w:t>
      </w:r>
    </w:p>
    <w:p>
      <w:pPr>
        <w:pStyle w:val="ListBullet"/>
      </w:pPr>
      <w:r>
        <w:rPr>
          <w:sz w:val="17"/>
        </w:rPr>
        <w:t>hosmer_lemeshow: {stat: 78.61, p: 0}</w:t>
      </w:r>
    </w:p>
    <w:p>
      <w:pPr>
        <w:pStyle w:val="ListBullet"/>
      </w:pPr>
      <w:r>
        <w:rPr>
          <w:sz w:val="17"/>
        </w:rPr>
        <w:t>deciles: [{decile: 1, n: 300, predicted_rate: 0.0121, observed_rate: 0.0367}, {decile: 2, n: 300, predicted_rate: 0.0281, observed_rate: 0.0533}, {decile: 3, n: 300, predicted_rate: 0.0441, observed_rate: 0.0667}, …]</w:t>
      </w:r>
    </w:p>
    <w:p>
      <w:r>
        <w:rPr>
          <w:b/>
        </w:rPr>
        <w:t xml:space="preserve">Recommendation: </w:t>
      </w:r>
      <w:r>
        <w:t>Review the decile table for where the model mis-states risk; recalibrate by segment if needed.</w:t>
      </w:r>
    </w:p>
    <w:p>
      <w:pPr>
        <w:pStyle w:val="Heading2"/>
      </w:pPr>
      <w:r>
        <w:t>Challenger Benchmarking</w:t>
      </w:r>
    </w:p>
    <w:p>
      <w:r>
        <w:t>The Challenger Benchmarking review of Retail Unsecured Loan PD Scorecard identified 2 finding(s) (2 medium severity).</w:t>
      </w:r>
    </w:p>
    <w:p>
      <w:pPr>
        <w:jc w:val="center"/>
      </w:pPr>
      <w:r>
        <w:drawing>
          <wp:inline xmlns:a="http://schemas.openxmlformats.org/drawingml/2006/main" xmlns:pic="http://schemas.openxmlformats.org/drawingml/2006/picture">
            <wp:extent cx="5669280" cy="2311322"/>
            <wp:docPr id="2" name="Picture 2"/>
            <wp:cNvGraphicFramePr>
              <a:graphicFrameLocks noChangeAspect="1"/>
            </wp:cNvGraphicFramePr>
            <a:graphic>
              <a:graphicData uri="http://schemas.openxmlformats.org/drawingml/2006/picture">
                <pic:pic>
                  <pic:nvPicPr>
                    <pic:cNvPr id="0" name="challengers.png"/>
                    <pic:cNvPicPr/>
                  </pic:nvPicPr>
                  <pic:blipFill>
                    <a:blip r:embed="rId11"/>
                    <a:stretch>
                      <a:fillRect/>
                    </a:stretch>
                  </pic:blipFill>
                  <pic:spPr>
                    <a:xfrm>
                      <a:off x="0" y="0"/>
                      <a:ext cx="5669280" cy="2311322"/>
                    </a:xfrm>
                    <a:prstGeom prst="rect"/>
                  </pic:spPr>
                </pic:pic>
              </a:graphicData>
            </a:graphic>
          </wp:inline>
        </w:drawing>
      </w:r>
    </w:p>
    <w:p>
      <w:r>
        <w:rPr>
          <w:b w:val="0"/>
          <w:i/>
          <w:color w:val="52514E"/>
          <w:sz w:val="16"/>
        </w:rPr>
        <w:t>Validation-sample AUC of the delivered model and the validator's challengers.</w:t>
      </w:r>
    </w:p>
    <w:p>
      <w:pPr>
        <w:pStyle w:val="Heading3"/>
      </w:pPr>
      <w:r>
        <w:t>CH-001 · Gradient boosting challenger outperforms the champion</w:t>
      </w:r>
    </w:p>
    <w:p>
      <w:r>
        <w:rPr>
          <w:b w:val="0"/>
          <w:i w:val="0"/>
          <w:color w:val="52514E"/>
          <w:sz w:val="17"/>
        </w:rPr>
        <w:t>Severity: Medium · Ongoing monitoring · Review: accepted · Remediation due 2027-04-21</w:t>
      </w:r>
    </w:p>
    <w:p>
      <w:r>
        <w:t>On the validation sample the gradient boosting challenger reaches AUC 0.809 vs 0.794 for the delivered model (gap +0.015, paired-bootstrap 95% interval +0.004 to +0.025). The challenger uses the same features, so the champion's functional form is leaving predictive information unused.</w:t>
      </w:r>
    </w:p>
    <w:p>
      <w:r>
        <w:rPr>
          <w:b/>
          <w:i w:val="0"/>
          <w:sz w:val="18"/>
        </w:rPr>
        <w:t>Evidence</w:t>
      </w:r>
    </w:p>
    <w:p>
      <w:pPr>
        <w:pStyle w:val="ListBullet"/>
      </w:pPr>
      <w:r>
        <w:rPr>
          <w:sz w:val="17"/>
        </w:rPr>
        <w:t>auc: 0.8087</w:t>
      </w:r>
    </w:p>
    <w:p>
      <w:pPr>
        <w:pStyle w:val="ListBullet"/>
      </w:pPr>
      <w:r>
        <w:rPr>
          <w:sz w:val="17"/>
        </w:rPr>
        <w:t>brier: 0.1259</w:t>
      </w:r>
    </w:p>
    <w:p>
      <w:pPr>
        <w:pStyle w:val="ListBullet"/>
      </w:pPr>
      <w:r>
        <w:rPr>
          <w:sz w:val="17"/>
        </w:rPr>
        <w:t>auc_gap: 0.015</w:t>
      </w:r>
    </w:p>
    <w:p>
      <w:pPr>
        <w:pStyle w:val="ListBullet"/>
      </w:pPr>
      <w:r>
        <w:rPr>
          <w:sz w:val="17"/>
        </w:rPr>
        <w:t>auc_gap_95ci: [0.0042, 0.0251]</w:t>
      </w:r>
    </w:p>
    <w:p>
      <w:pPr>
        <w:pStyle w:val="ListBullet"/>
      </w:pPr>
      <w:r>
        <w:rPr>
          <w:sz w:val="17"/>
        </w:rPr>
        <w:t>rank_correlation: 0.867</w:t>
      </w:r>
    </w:p>
    <w:p>
      <w:r>
        <w:rPr>
          <w:b/>
        </w:rPr>
        <w:t xml:space="preserve">Recommendation: </w:t>
      </w:r>
      <w:r>
        <w:t>Identify where the challenger gains (e.g. partial dependence of the main features) and capture it in the champion through binning or transformations, or document why the simpler model is preferred despite the gap.</w:t>
      </w:r>
    </w:p>
    <w:p>
      <w:pPr>
        <w:pStyle w:val="Heading3"/>
      </w:pPr>
      <w:r>
        <w:t>CH-002 · Random forest challenger outperforms the champion</w:t>
      </w:r>
    </w:p>
    <w:p>
      <w:r>
        <w:rPr>
          <w:b w:val="0"/>
          <w:i w:val="0"/>
          <w:color w:val="52514E"/>
          <w:sz w:val="17"/>
        </w:rPr>
        <w:t>Severity: Medium · Ongoing monitoring · Review: accepted · Remediation due 2027-04-21</w:t>
      </w:r>
    </w:p>
    <w:p>
      <w:r>
        <w:t>On the validation sample the random forest challenger reaches AUC 0.809 vs 0.794 for the delivered model (gap +0.015, paired-bootstrap 95% interval +0.003 to +0.025). The challenger uses the same features, so the champion's functional form is leaving predictive information unused.</w:t>
      </w:r>
    </w:p>
    <w:p>
      <w:r>
        <w:rPr>
          <w:b/>
          <w:i w:val="0"/>
          <w:sz w:val="18"/>
        </w:rPr>
        <w:t>Evidence</w:t>
      </w:r>
    </w:p>
    <w:p>
      <w:pPr>
        <w:pStyle w:val="ListBullet"/>
      </w:pPr>
      <w:r>
        <w:rPr>
          <w:sz w:val="17"/>
        </w:rPr>
        <w:t>auc: 0.8085</w:t>
      </w:r>
    </w:p>
    <w:p>
      <w:pPr>
        <w:pStyle w:val="ListBullet"/>
      </w:pPr>
      <w:r>
        <w:rPr>
          <w:sz w:val="17"/>
        </w:rPr>
        <w:t>brier: 0.1288</w:t>
      </w:r>
    </w:p>
    <w:p>
      <w:pPr>
        <w:pStyle w:val="ListBullet"/>
      </w:pPr>
      <w:r>
        <w:rPr>
          <w:sz w:val="17"/>
        </w:rPr>
        <w:t>auc_gap: 0.0148</w:t>
      </w:r>
    </w:p>
    <w:p>
      <w:pPr>
        <w:pStyle w:val="ListBullet"/>
      </w:pPr>
      <w:r>
        <w:rPr>
          <w:sz w:val="17"/>
        </w:rPr>
        <w:t>auc_gap_95ci: [0.0031, 0.0253]</w:t>
      </w:r>
    </w:p>
    <w:p>
      <w:pPr>
        <w:pStyle w:val="ListBullet"/>
      </w:pPr>
      <w:r>
        <w:rPr>
          <w:sz w:val="17"/>
        </w:rPr>
        <w:t>rank_correlation: 0.835</w:t>
      </w:r>
    </w:p>
    <w:p>
      <w:r>
        <w:rPr>
          <w:b/>
        </w:rPr>
        <w:t xml:space="preserve">Recommendation: </w:t>
      </w:r>
      <w:r>
        <w:t>Identify where the challenger gains (e.g. partial dependence of the main features) and capture it in the champion through binning or transformations, or document why the simpler model is preferred despite the gap.</w:t>
      </w:r>
    </w:p>
    <w:p>
      <w:pPr>
        <w:pStyle w:val="Heading2"/>
      </w:pPr>
      <w:r>
        <w:t>Sensitivity Analysis</w:t>
      </w:r>
    </w:p>
    <w:p>
      <w:r>
        <w:t>The Sensitivity Analysis review of Retail Unsecured Loan PD Scorecard identified no exceptions.</w:t>
      </w:r>
    </w:p>
    <w:p>
      <w:pPr>
        <w:pStyle w:val="Heading1"/>
      </w:pPr>
      <w:r>
        <w:t>Appendix A. Findings rejected by the validator</w:t>
      </w:r>
    </w:p>
    <w:tbl>
      <w:tblPr>
        <w:tblStyle w:val="TableGrid"/>
        <w:tblW w:type="auto" w:w="0"/>
        <w:jc w:val="center"/>
        <w:tblLayout w:type="fixed"/>
        <w:tblLook w:firstColumn="1" w:firstRow="1" w:lastColumn="0" w:lastRow="0" w:noHBand="0" w:noVBand="1" w:val="04A0"/>
      </w:tblPr>
      <w:tblGrid>
        <w:gridCol w:w="864"/>
        <w:gridCol w:w="1152"/>
        <w:gridCol w:w="3168"/>
        <w:gridCol w:w="1440"/>
        <w:gridCol w:w="2880"/>
      </w:tblGrid>
      <w:tr>
        <w:tc>
          <w:tcPr>
            <w:tcW w:type="dxa" w:w="864"/>
            <w:shd w:val="clear" w:color="auto" w:fill="F0EFEC"/>
          </w:tcPr>
          <w:p>
            <w:r>
              <w:rPr>
                <w:b/>
                <w:sz w:val="17"/>
              </w:rPr>
              <w:t>ID</w:t>
            </w:r>
          </w:p>
        </w:tc>
        <w:tc>
          <w:tcPr>
            <w:tcW w:type="dxa" w:w="1152"/>
            <w:shd w:val="clear" w:color="auto" w:fill="F0EFEC"/>
          </w:tcPr>
          <w:p>
            <w:r>
              <w:rPr>
                <w:b/>
                <w:sz w:val="17"/>
              </w:rPr>
              <w:t>Proposed severity</w:t>
            </w:r>
          </w:p>
        </w:tc>
        <w:tc>
          <w:tcPr>
            <w:tcW w:type="dxa" w:w="3168"/>
            <w:shd w:val="clear" w:color="auto" w:fill="F0EFEC"/>
          </w:tcPr>
          <w:p>
            <w:r>
              <w:rPr>
                <w:b/>
                <w:sz w:val="17"/>
              </w:rPr>
              <w:t>Finding</w:t>
            </w:r>
          </w:p>
        </w:tc>
        <w:tc>
          <w:tcPr>
            <w:tcW w:type="dxa" w:w="1440"/>
            <w:shd w:val="clear" w:color="auto" w:fill="F0EFEC"/>
          </w:tcPr>
          <w:p>
            <w:r>
              <w:rPr>
                <w:b/>
                <w:sz w:val="17"/>
              </w:rPr>
              <w:t>Reviewer</w:t>
            </w:r>
          </w:p>
        </w:tc>
        <w:tc>
          <w:tcPr>
            <w:tcW w:type="dxa" w:w="2880"/>
            <w:shd w:val="clear" w:color="auto" w:fill="F0EFEC"/>
          </w:tcPr>
          <w:p>
            <w:r>
              <w:rPr>
                <w:b/>
                <w:sz w:val="17"/>
              </w:rPr>
              <w:t>Rationale</w:t>
            </w:r>
          </w:p>
        </w:tc>
      </w:tr>
      <w:tr>
        <w:tc>
          <w:tcPr>
            <w:tcW w:type="dxa" w:w="864"/>
          </w:tcPr>
          <w:p>
            <w:r>
              <w:rPr>
                <w:sz w:val="17"/>
              </w:rPr>
              <w:t>DQ-001</w:t>
            </w:r>
          </w:p>
        </w:tc>
        <w:tc>
          <w:tcPr>
            <w:tcW w:type="dxa" w:w="1152"/>
          </w:tcPr>
          <w:p>
            <w:r>
              <w:rPr>
                <w:sz w:val="17"/>
              </w:rPr>
              <w:t>High</w:t>
            </w:r>
          </w:p>
        </w:tc>
        <w:tc>
          <w:tcPr>
            <w:tcW w:type="dxa" w:w="3168"/>
          </w:tcPr>
          <w:p>
            <w:r>
              <w:rPr>
                <w:sz w:val="17"/>
              </w:rPr>
              <w:t>Conflicting records share an ID in development data</w:t>
            </w:r>
          </w:p>
        </w:tc>
        <w:tc>
          <w:tcPr>
            <w:tcW w:type="dxa" w:w="1440"/>
          </w:tcPr>
          <w:p>
            <w:r>
              <w:rPr>
                <w:sz w:val="17"/>
              </w:rPr>
              <w:t>Demo reviewer</w:t>
            </w:r>
          </w:p>
        </w:tc>
        <w:tc>
          <w:tcPr>
            <w:tcW w:type="dxa" w:w="2880"/>
          </w:tcPr>
          <w:p>
            <w:r>
              <w:rPr>
                <w:sz w:val="17"/>
              </w:rPr>
              <w:t>Conflicting IDs arise from the duplicate rows already raised in DQ-006; tracked there.</w:t>
            </w:r>
          </w:p>
        </w:tc>
      </w:tr>
    </w:tbl>
    <w:p>
      <w:pPr>
        <w:pStyle w:val="Heading1"/>
      </w:pPr>
      <w:r>
        <w:t>Appendix B. Audit trail and turnaround</w:t>
      </w:r>
    </w:p>
    <w:tbl>
      <w:tblPr>
        <w:tblStyle w:val="TableGrid"/>
        <w:tblW w:type="auto" w:w="0"/>
        <w:jc w:val="center"/>
        <w:tblLayout w:type="fixed"/>
        <w:tblLook w:firstColumn="1" w:firstRow="1" w:lastColumn="0" w:lastRow="0" w:noHBand="0" w:noVBand="1" w:val="04A0"/>
      </w:tblPr>
      <w:tblGrid>
        <w:gridCol w:w="5184"/>
        <w:gridCol w:w="2880"/>
      </w:tblGrid>
      <w:tr>
        <w:tc>
          <w:tcPr>
            <w:tcW w:type="dxa" w:w="5184"/>
            <w:shd w:val="clear" w:color="auto" w:fill="F0EFEC"/>
          </w:tcPr>
          <w:p>
            <w:r>
              <w:rPr>
                <w:b/>
                <w:sz w:val="17"/>
              </w:rPr>
              <w:t>Measure</w:t>
            </w:r>
          </w:p>
        </w:tc>
        <w:tc>
          <w:tcPr>
            <w:tcW w:type="dxa" w:w="2880"/>
            <w:shd w:val="clear" w:color="auto" w:fill="F0EFEC"/>
          </w:tcPr>
          <w:p>
            <w:r>
              <w:rPr>
                <w:b/>
                <w:sz w:val="17"/>
              </w:rPr>
              <w:t>Value</w:t>
            </w:r>
          </w:p>
        </w:tc>
      </w:tr>
      <w:tr>
        <w:tc>
          <w:tcPr>
            <w:tcW w:type="dxa" w:w="5184"/>
          </w:tcPr>
          <w:p>
            <w:r>
              <w:rPr>
                <w:sz w:val="17"/>
              </w:rPr>
              <w:t>Automated analysis</w:t>
            </w:r>
          </w:p>
        </w:tc>
        <w:tc>
          <w:tcPr>
            <w:tcW w:type="dxa" w:w="2880"/>
          </w:tcPr>
          <w:p>
            <w:r>
              <w:rPr>
                <w:sz w:val="17"/>
              </w:rPr>
              <w:t>4.91 s</w:t>
            </w:r>
          </w:p>
        </w:tc>
      </w:tr>
      <w:tr>
        <w:tc>
          <w:tcPr>
            <w:tcW w:type="dxa" w:w="5184"/>
          </w:tcPr>
          <w:p>
            <w:r>
              <w:rPr>
                <w:sz w:val="17"/>
              </w:rPr>
              <w:t xml:space="preserve">  Data Quality</w:t>
            </w:r>
          </w:p>
        </w:tc>
        <w:tc>
          <w:tcPr>
            <w:tcW w:type="dxa" w:w="2880"/>
          </w:tcPr>
          <w:p>
            <w:r>
              <w:rPr>
                <w:sz w:val="17"/>
              </w:rPr>
              <w:t>0.176 s</w:t>
            </w:r>
          </w:p>
        </w:tc>
      </w:tr>
      <w:tr>
        <w:tc>
          <w:tcPr>
            <w:tcW w:type="dxa" w:w="5184"/>
          </w:tcPr>
          <w:p>
            <w:r>
              <w:rPr>
                <w:sz w:val="17"/>
              </w:rPr>
              <w:t xml:space="preserve">  Assumptions</w:t>
            </w:r>
          </w:p>
        </w:tc>
        <w:tc>
          <w:tcPr>
            <w:tcW w:type="dxa" w:w="2880"/>
          </w:tcPr>
          <w:p>
            <w:r>
              <w:rPr>
                <w:sz w:val="17"/>
              </w:rPr>
              <w:t>0.064 s</w:t>
            </w:r>
          </w:p>
        </w:tc>
      </w:tr>
      <w:tr>
        <w:tc>
          <w:tcPr>
            <w:tcW w:type="dxa" w:w="5184"/>
          </w:tcPr>
          <w:p>
            <w:r>
              <w:rPr>
                <w:sz w:val="17"/>
              </w:rPr>
              <w:t xml:space="preserve">  Backtesting</w:t>
            </w:r>
          </w:p>
        </w:tc>
        <w:tc>
          <w:tcPr>
            <w:tcW w:type="dxa" w:w="2880"/>
          </w:tcPr>
          <w:p>
            <w:r>
              <w:rPr>
                <w:sz w:val="17"/>
              </w:rPr>
              <w:t>0.105 s</w:t>
            </w:r>
          </w:p>
        </w:tc>
      </w:tr>
      <w:tr>
        <w:tc>
          <w:tcPr>
            <w:tcW w:type="dxa" w:w="5184"/>
          </w:tcPr>
          <w:p>
            <w:r>
              <w:rPr>
                <w:sz w:val="17"/>
              </w:rPr>
              <w:t xml:space="preserve">  Challenger Benchmarking</w:t>
            </w:r>
          </w:p>
        </w:tc>
        <w:tc>
          <w:tcPr>
            <w:tcW w:type="dxa" w:w="2880"/>
          </w:tcPr>
          <w:p>
            <w:r>
              <w:rPr>
                <w:sz w:val="17"/>
              </w:rPr>
              <w:t>4.477 s</w:t>
            </w:r>
          </w:p>
        </w:tc>
      </w:tr>
      <w:tr>
        <w:tc>
          <w:tcPr>
            <w:tcW w:type="dxa" w:w="5184"/>
          </w:tcPr>
          <w:p>
            <w:r>
              <w:rPr>
                <w:sz w:val="17"/>
              </w:rPr>
              <w:t xml:space="preserve">  Sensitivity Analysis</w:t>
            </w:r>
          </w:p>
        </w:tc>
        <w:tc>
          <w:tcPr>
            <w:tcW w:type="dxa" w:w="2880"/>
          </w:tcPr>
          <w:p>
            <w:r>
              <w:rPr>
                <w:sz w:val="17"/>
              </w:rPr>
              <w:t>0.08 s</w:t>
            </w:r>
          </w:p>
        </w:tc>
      </w:tr>
      <w:tr>
        <w:tc>
          <w:tcPr>
            <w:tcW w:type="dxa" w:w="5184"/>
          </w:tcPr>
          <w:p>
            <w:r>
              <w:rPr>
                <w:sz w:val="17"/>
              </w:rPr>
              <w:t>Review decisions recorded</w:t>
            </w:r>
          </w:p>
        </w:tc>
        <w:tc>
          <w:tcPr>
            <w:tcW w:type="dxa" w:w="2880"/>
          </w:tcPr>
          <w:p>
            <w:r>
              <w:rPr>
                <w:sz w:val="17"/>
              </w:rPr>
              <w:t>15</w:t>
            </w:r>
          </w:p>
        </w:tc>
      </w:tr>
      <w:tr>
        <w:tc>
          <w:tcPr>
            <w:tcW w:type="dxa" w:w="5184"/>
          </w:tcPr>
          <w:p>
            <w:r>
              <w:rPr>
                <w:sz w:val="17"/>
              </w:rPr>
              <w:t>Active review (first to last decision)</w:t>
            </w:r>
          </w:p>
        </w:tc>
        <w:tc>
          <w:tcPr>
            <w:tcW w:type="dxa" w:w="2880"/>
          </w:tcPr>
          <w:p>
            <w:r>
              <w:rPr>
                <w:sz w:val="17"/>
              </w:rPr>
              <w:t>0.0 min</w:t>
            </w:r>
          </w:p>
        </w:tc>
      </w:tr>
      <w:tr>
        <w:tc>
          <w:tcPr>
            <w:tcW w:type="dxa" w:w="5184"/>
          </w:tcPr>
          <w:p>
            <w:r>
              <w:rPr>
                <w:sz w:val="17"/>
              </w:rPr>
              <w:t>Run completion to sign-off</w:t>
            </w:r>
          </w:p>
        </w:tc>
        <w:tc>
          <w:tcPr>
            <w:tcW w:type="dxa" w:w="2880"/>
          </w:tcPr>
          <w:p>
            <w:r>
              <w:rPr>
                <w:sz w:val="17"/>
              </w:rPr>
              <w:t>0.0 h</w:t>
            </w:r>
          </w:p>
        </w:tc>
      </w:tr>
      <w:tr>
        <w:tc>
          <w:tcPr>
            <w:tcW w:type="dxa" w:w="5184"/>
          </w:tcPr>
          <w:p>
            <w:r>
              <w:rPr>
                <w:sz w:val="17"/>
              </w:rPr>
              <w:t>Total elapsed (start to sign-off)</w:t>
            </w:r>
          </w:p>
        </w:tc>
        <w:tc>
          <w:tcPr>
            <w:tcW w:type="dxa" w:w="2880"/>
          </w:tcPr>
          <w:p>
            <w:r>
              <w:rPr>
                <w:sz w:val="17"/>
              </w:rPr>
              <w:t>0.0 h</w:t>
            </w:r>
          </w:p>
        </w:tc>
      </w:tr>
    </w:tbl>
    <w:p>
      <w:r>
        <w:rPr>
          <w:b w:val="0"/>
          <w:i w:val="0"/>
          <w:color w:val="52514E"/>
          <w:sz w:val="17"/>
        </w:rPr>
        <w:t>Times are taken from the run's append-only audit log (audit.jsonl), which also records every review decision with reviewer, timestamp and rationale.</w:t>
      </w:r>
    </w:p>
    <w:p>
      <w:r>
        <w:rPr>
          <w:b/>
        </w:rPr>
        <w:t xml:space="preserve">Sign-off comment: </w:t>
      </w:r>
      <w:r>
        <w:t>Illustrative review of a synthetic model package.</w:t>
      </w:r>
    </w:p>
    <w:p>
      <w:pPr>
        <w:pStyle w:val="Heading1"/>
      </w:pPr>
      <w:r>
        <w:t>Appendix C. Limitations of this validation</w:t>
      </w:r>
    </w:p>
    <w:p>
      <w:pPr>
        <w:pStyle w:val="ListBullet"/>
      </w:pPr>
      <w:r>
        <w:t>Automated tests cover the checks listed in section 2; they do not replace the validator's judgement on conceptual soundness, business use or the appropriateness of the model's design.</w:t>
      </w:r>
    </w:p>
    <w:p>
      <w:pPr>
        <w:pStyle w:val="ListBullet"/>
      </w:pPr>
      <w:r>
        <w:t>Statistical tests reject a correct model at roughly their significance level; findings are therefore reviewed individually before they are accepted.</w:t>
      </w:r>
    </w:p>
    <w:p>
      <w:pPr>
        <w:pStyle w:val="ListBullet"/>
      </w:pPr>
      <w:r>
        <w:t>AI-written text (area summaries, commentary, executive summary) is generated from the computed results only and is labelled as such; it cannot add, remove or re-grade findings.</w:t>
      </w:r>
    </w:p>
    <w:sectPr w:rsidR="00FC693F" w:rsidRPr="0006063C" w:rsidSect="00034616">
      <w:head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514E"/>
        <w:sz w:val="16"/>
      </w:rPr>
      <w:t>Model Validation Report · CR-PD-001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