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D4E89"/>
          <w:sz w:val="40"/>
          <w:szCs w:val="40"/>
        </w:rPr>
        <w:t xml:space="preserve">Container Tracking API Integration</w:t>
      </w:r>
    </w:p>
    <w:p>
      <w:pPr>
        <w:spacing w:after="300"/>
      </w:pPr>
      <w:r>
        <w:rPr>
          <w:i/>
          <w:iCs/>
          <w:color w:val="555555"/>
          <w:sz w:val="24"/>
          <w:szCs w:val="24"/>
        </w:rPr>
        <w:t xml:space="preserve">Maersk, CMA CGM &amp; MSC — API access, data coverage, and integration plan</w:t>
      </w:r>
    </w:p>
    <w:p>
      <w:pPr>
        <w:pStyle w:val="Heading1"/>
        <w:spacing w:after="150" w:before="300"/>
      </w:pPr>
      <w:r>
        <w:t xml:space="preserve">1. Purpose</w:t>
      </w:r>
    </w:p>
    <w:p>
      <w:pPr>
        <w:spacing w:after="120"/>
      </w:pPr>
      <w:r>
        <w:t xml:space="preserve">This document outlines the container tracking APIs offered by our three shipping-line partners — Maersk, CMA CGM, and MSC — for use in our container tracking system. It covers each carrier's developer portal, the data each API provides, how to acquire production API access as an existing partner, and how these APIs will be integrated into our system.</w:t>
      </w:r>
    </w:p>
    <w:p>
      <w:pPr>
        <w:spacing w:after="120"/>
      </w:pPr>
      <w:r>
        <w:t xml:space="preserve">Primary use case: tracking 20ft and 40ft containers shipped by sea from Montreal to six African destinations — Douala, Abidjan, Dakar, Matadi, Kinshasa, and other key ports.</w:t>
      </w:r>
    </w:p>
    <w:p>
      <w:pPr>
        <w:pStyle w:val="Heading1"/>
        <w:spacing w:after="150" w:before="300"/>
      </w:pPr>
      <w:r>
        <w:t xml:space="preserve">2. Carrier API Portals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600"/>
      </w:tblGrid>
      <w:tr>
        <w:trPr>
          <w:tblHeader/>
        </w:trPr>
        <w:tc>
          <w:tcPr>
            <w:tcW w:type="dxa" w:w="2000"/>
            <w:shd w:fill="1D4E89" w:val="clear"/>
            <w:tcMar>
              <w:top w:type="dxa" w:w="80"/>
              <w:left w:type="dxa" w:w="100"/>
              <w:bottom w:type="dxa" w:w="80"/>
              <w:right w:type="dxa" w:w="100"/>
            </w:tcMar>
          </w:tcPr>
          <w:p>
            <w:r>
              <w:rPr>
                <w:b/>
                <w:bCs/>
                <w:color w:val="FFFFFF"/>
                <w:sz w:val="20"/>
                <w:szCs w:val="20"/>
              </w:rPr>
              <w:t xml:space="preserve">Carrier</w:t>
            </w:r>
          </w:p>
        </w:tc>
        <w:tc>
          <w:tcPr>
            <w:tcW w:type="dxa" w:w="4200"/>
            <w:shd w:fill="1D4E89" w:val="clear"/>
            <w:tcMar>
              <w:top w:type="dxa" w:w="80"/>
              <w:left w:type="dxa" w:w="100"/>
              <w:bottom w:type="dxa" w:w="80"/>
              <w:right w:type="dxa" w:w="100"/>
            </w:tcMar>
          </w:tcPr>
          <w:p>
            <w:r>
              <w:rPr>
                <w:b/>
                <w:bCs/>
                <w:color w:val="FFFFFF"/>
                <w:sz w:val="20"/>
                <w:szCs w:val="20"/>
              </w:rPr>
              <w:t xml:space="preserve">Developer Portal</w:t>
            </w:r>
          </w:p>
        </w:tc>
        <w:tc>
          <w:tcPr>
            <w:tcW w:type="dxa" w:w="3600"/>
            <w:shd w:fill="1D4E89" w:val="clear"/>
            <w:tcMar>
              <w:top w:type="dxa" w:w="80"/>
              <w:left w:type="dxa" w:w="100"/>
              <w:bottom w:type="dxa" w:w="80"/>
              <w:right w:type="dxa" w:w="100"/>
            </w:tcMar>
          </w:tcPr>
          <w:p>
            <w:r>
              <w:rPr>
                <w:b/>
                <w:bCs/>
                <w:color w:val="FFFFFF"/>
                <w:sz w:val="20"/>
                <w:szCs w:val="20"/>
              </w:rPr>
              <w:t xml:space="preserve">Access Model</w:t>
            </w:r>
          </w:p>
        </w:tc>
      </w:tr>
      <w:tr>
        <w:tc>
          <w:tcPr>
            <w:tcW w:type="dxa" w:w="2000"/>
            <w:tcMar>
              <w:top w:type="dxa" w:w="80"/>
              <w:left w:type="dxa" w:w="100"/>
              <w:bottom w:type="dxa" w:w="80"/>
              <w:right w:type="dxa" w:w="100"/>
            </w:tcMar>
          </w:tcPr>
          <w:p>
            <w:r>
              <w:rPr>
                <w:b w:val="false"/>
                <w:bCs w:val="false"/>
                <w:sz w:val="20"/>
                <w:szCs w:val="20"/>
              </w:rPr>
              <w:t xml:space="preserve">Maersk</w:t>
            </w:r>
          </w:p>
        </w:tc>
        <w:tc>
          <w:tcPr>
            <w:tcW w:type="dxa" w:w="4200"/>
            <w:tcMar>
              <w:top w:type="dxa" w:w="80"/>
              <w:left w:type="dxa" w:w="100"/>
              <w:bottom w:type="dxa" w:w="80"/>
              <w:right w:type="dxa" w:w="100"/>
            </w:tcMar>
          </w:tcPr>
          <w:p>
            <w:r>
              <w:rPr>
                <w:b w:val="false"/>
                <w:bCs w:val="false"/>
                <w:sz w:val="20"/>
                <w:szCs w:val="20"/>
              </w:rPr>
              <w:t xml:space="preserve">developer.maersk.com</w:t>
            </w:r>
          </w:p>
        </w:tc>
        <w:tc>
          <w:tcPr>
            <w:tcW w:type="dxa" w:w="3600"/>
            <w:tcMar>
              <w:top w:type="dxa" w:w="80"/>
              <w:left w:type="dxa" w:w="100"/>
              <w:bottom w:type="dxa" w:w="80"/>
              <w:right w:type="dxa" w:w="100"/>
            </w:tcMar>
          </w:tcPr>
          <w:p>
            <w:r>
              <w:rPr>
                <w:b w:val="false"/>
                <w:bCs w:val="false"/>
                <w:sz w:val="20"/>
                <w:szCs w:val="20"/>
              </w:rPr>
              <w:t xml:space="preserve">Self-service (register, get key, sandbox, go live)</w:t>
            </w:r>
          </w:p>
        </w:tc>
      </w:tr>
      <w:tr>
        <w:tc>
          <w:tcPr>
            <w:tcW w:type="dxa" w:w="2000"/>
            <w:tcMar>
              <w:top w:type="dxa" w:w="80"/>
              <w:left w:type="dxa" w:w="100"/>
              <w:bottom w:type="dxa" w:w="80"/>
              <w:right w:type="dxa" w:w="100"/>
            </w:tcMar>
          </w:tcPr>
          <w:p>
            <w:r>
              <w:rPr>
                <w:b w:val="false"/>
                <w:bCs w:val="false"/>
                <w:sz w:val="20"/>
                <w:szCs w:val="20"/>
              </w:rPr>
              <w:t xml:space="preserve">CMA CGM</w:t>
            </w:r>
          </w:p>
        </w:tc>
        <w:tc>
          <w:tcPr>
            <w:tcW w:type="dxa" w:w="4200"/>
            <w:tcMar>
              <w:top w:type="dxa" w:w="80"/>
              <w:left w:type="dxa" w:w="100"/>
              <w:bottom w:type="dxa" w:w="80"/>
              <w:right w:type="dxa" w:w="100"/>
            </w:tcMar>
          </w:tcPr>
          <w:p>
            <w:r>
              <w:rPr>
                <w:b w:val="false"/>
                <w:bCs w:val="false"/>
                <w:sz w:val="20"/>
                <w:szCs w:val="20"/>
              </w:rPr>
              <w:t xml:space="preserve">api-portal.cma-cgm.com</w:t>
            </w:r>
          </w:p>
        </w:tc>
        <w:tc>
          <w:tcPr>
            <w:tcW w:type="dxa" w:w="3600"/>
            <w:tcMar>
              <w:top w:type="dxa" w:w="80"/>
              <w:left w:type="dxa" w:w="100"/>
              <w:bottom w:type="dxa" w:w="80"/>
              <w:right w:type="dxa" w:w="100"/>
            </w:tcMar>
          </w:tcPr>
          <w:p>
            <w:r>
              <w:rPr>
                <w:b w:val="false"/>
                <w:bCs w:val="false"/>
                <w:sz w:val="20"/>
                <w:szCs w:val="20"/>
              </w:rPr>
              <w:t xml:space="preserve">Two-tier (public + partner tier via account team)</w:t>
            </w:r>
          </w:p>
        </w:tc>
      </w:tr>
      <w:tr>
        <w:tc>
          <w:tcPr>
            <w:tcW w:type="dxa" w:w="2000"/>
            <w:tcMar>
              <w:top w:type="dxa" w:w="80"/>
              <w:left w:type="dxa" w:w="100"/>
              <w:bottom w:type="dxa" w:w="80"/>
              <w:right w:type="dxa" w:w="100"/>
            </w:tcMar>
          </w:tcPr>
          <w:p>
            <w:r>
              <w:rPr>
                <w:b w:val="false"/>
                <w:bCs w:val="false"/>
                <w:sz w:val="20"/>
                <w:szCs w:val="20"/>
              </w:rPr>
              <w:t xml:space="preserve">MSC</w:t>
            </w:r>
          </w:p>
        </w:tc>
        <w:tc>
          <w:tcPr>
            <w:tcW w:type="dxa" w:w="4200"/>
            <w:tcMar>
              <w:top w:type="dxa" w:w="80"/>
              <w:left w:type="dxa" w:w="100"/>
              <w:bottom w:type="dxa" w:w="80"/>
              <w:right w:type="dxa" w:w="100"/>
            </w:tcMar>
          </w:tcPr>
          <w:p>
            <w:r>
              <w:rPr>
                <w:b w:val="false"/>
                <w:bCs w:val="false"/>
                <w:sz w:val="20"/>
                <w:szCs w:val="20"/>
              </w:rPr>
              <w:t xml:space="preserve">developerportal.msc.com</w:t>
            </w:r>
          </w:p>
        </w:tc>
        <w:tc>
          <w:tcPr>
            <w:tcW w:type="dxa" w:w="3600"/>
            <w:tcMar>
              <w:top w:type="dxa" w:w="80"/>
              <w:left w:type="dxa" w:w="100"/>
              <w:bottom w:type="dxa" w:w="80"/>
              <w:right w:type="dxa" w:w="100"/>
            </w:tcMar>
          </w:tcPr>
          <w:p>
            <w:r>
              <w:rPr>
                <w:b w:val="false"/>
                <w:bCs w:val="false"/>
                <w:sz w:val="20"/>
                <w:szCs w:val="20"/>
              </w:rPr>
              <w:t xml:space="preserve">Sandbox self-service; production requires formal onboarding</w:t>
            </w:r>
          </w:p>
        </w:tc>
      </w:tr>
    </w:tbl>
    <w:p>
      <w:pPr>
        <w:spacing w:after="200"/>
      </w:pPr>
    </w:p>
    <w:p>
      <w:pPr>
        <w:pStyle w:val="Heading1"/>
        <w:spacing w:after="150" w:before="300"/>
      </w:pPr>
      <w:r>
        <w:t xml:space="preserve">3. Data Available Per Carrier</w:t>
      </w:r>
    </w:p>
    <w:p>
      <w:pPr>
        <w:pStyle w:val="Heading2"/>
        <w:spacing w:after="120" w:before="240"/>
      </w:pPr>
      <w:r>
        <w:t xml:space="preserve">3.1 Maersk</w:t>
      </w:r>
    </w:p>
    <w:p>
      <w:pPr>
        <w:spacing w:after="120"/>
      </w:pPr>
      <w:r>
        <w:rPr>
          <w:b/>
          <w:bCs/>
        </w:rPr>
        <w:t xml:space="preserve">Portal: developer.maersk.com</w:t>
      </w:r>
    </w:p>
    <w:p>
      <w:pPr>
        <w:spacing w:after="120"/>
      </w:pPr>
      <w:r>
        <w:t xml:space="preserve">Relevant APIs: Track &amp; Trace Plus, MEC Tracking (covers Maersk, Hamburg Süd, Sealand), Point-to-Point Schedules.</w:t>
      </w:r>
    </w:p>
    <w:p>
      <w:pPr>
        <w:spacing w:after="120"/>
      </w:pPr>
      <w:r>
        <w:t xml:space="preserve">Data fields provided:</w:t>
      </w:r>
    </w:p>
    <w:p>
      <w:pPr>
        <w:pStyle w:val="ListParagraph"/>
        <w:numPr>
          <w:ilvl w:val="0"/>
          <w:numId w:val="1"/>
        </w:numPr>
        <w:spacing w:after="60"/>
      </w:pPr>
      <w:r>
        <w:t xml:space="preserve">Container number, size/type (20ft/40ft), ISO code</w:t>
      </w:r>
    </w:p>
    <w:p>
      <w:pPr>
        <w:pStyle w:val="ListParagraph"/>
        <w:numPr>
          <w:ilvl w:val="0"/>
          <w:numId w:val="1"/>
        </w:numPr>
        <w:spacing w:after="60"/>
      </w:pPr>
      <w:r>
        <w:t xml:space="preserve">Bill of Lading and booking number</w:t>
      </w:r>
    </w:p>
    <w:p>
      <w:pPr>
        <w:pStyle w:val="ListParagraph"/>
        <w:numPr>
          <w:ilvl w:val="0"/>
          <w:numId w:val="1"/>
        </w:numPr>
        <w:spacing w:after="60"/>
      </w:pPr>
      <w:r>
        <w:t xml:space="preserve">Origin, destination, and full transshipment port rotation (UN/LOCODE)</w:t>
      </w:r>
    </w:p>
    <w:p>
      <w:pPr>
        <w:pStyle w:val="ListParagraph"/>
        <w:numPr>
          <w:ilvl w:val="0"/>
          <w:numId w:val="1"/>
        </w:numPr>
        <w:spacing w:after="60"/>
      </w:pPr>
      <w:r>
        <w:t xml:space="preserve">Vessel name, IMO number, voyage number</w:t>
      </w:r>
    </w:p>
    <w:p>
      <w:pPr>
        <w:pStyle w:val="ListParagraph"/>
        <w:numPr>
          <w:ilvl w:val="0"/>
          <w:numId w:val="1"/>
        </w:numPr>
        <w:spacing w:after="60"/>
      </w:pPr>
      <w:r>
        <w:t xml:space="preserve">Up to 9 milestones per shipment (booking through delivery), DCSA Track &amp; Trace v2.2 event codes</w:t>
      </w:r>
    </w:p>
    <w:p>
      <w:pPr>
        <w:pStyle w:val="ListParagraph"/>
        <w:numPr>
          <w:ilvl w:val="0"/>
          <w:numId w:val="1"/>
        </w:numPr>
        <w:spacing w:after="60"/>
      </w:pPr>
      <w:r>
        <w:t xml:space="preserve">Estimated and actual dates (ETD/ETA, ATD/ATA) at each milestone</w:t>
      </w:r>
    </w:p>
    <w:p>
      <w:pPr>
        <w:spacing w:after="120"/>
      </w:pPr>
      <w:r>
        <w:rPr>
          <w:i/>
          <w:iCs/>
          <w:color w:val="666666"/>
        </w:rPr>
        <w:t xml:space="preserve">Notes: Most developer-friendly of the three; standardized DCSA event codes reduce mapping work.</w:t>
      </w:r>
    </w:p>
    <w:p>
      <w:pPr>
        <w:pStyle w:val="Heading2"/>
        <w:spacing w:after="120" w:before="240"/>
      </w:pPr>
      <w:r>
        <w:t xml:space="preserve">3.2 CMA CGM</w:t>
      </w:r>
    </w:p>
    <w:p>
      <w:pPr>
        <w:spacing w:after="120"/>
      </w:pPr>
      <w:r>
        <w:rPr>
          <w:b/>
          <w:bCs/>
        </w:rPr>
        <w:t xml:space="preserve">Portal: api-portal.cma-cgm.com</w:t>
      </w:r>
    </w:p>
    <w:p>
      <w:pPr>
        <w:spacing w:after="120"/>
      </w:pPr>
      <w:r>
        <w:t xml:space="preserve">Relevant APIs: Two-tier Track &amp; Trace API (public and partner tier); EDI (UN/EDIFACT) available as an alternative channel.</w:t>
      </w:r>
    </w:p>
    <w:p>
      <w:pPr>
        <w:spacing w:after="120"/>
      </w:pPr>
      <w:r>
        <w:t xml:space="preserve">Data fields provided:</w:t>
      </w:r>
    </w:p>
    <w:p>
      <w:pPr>
        <w:pStyle w:val="ListParagraph"/>
        <w:numPr>
          <w:ilvl w:val="0"/>
          <w:numId w:val="1"/>
        </w:numPr>
        <w:spacing w:after="60"/>
      </w:pPr>
      <w:r>
        <w:t xml:space="preserve">Container number, size/type</w:t>
      </w:r>
    </w:p>
    <w:p>
      <w:pPr>
        <w:pStyle w:val="ListParagraph"/>
        <w:numPr>
          <w:ilvl w:val="0"/>
          <w:numId w:val="1"/>
        </w:numPr>
        <w:spacing w:after="60"/>
      </w:pPr>
      <w:r>
        <w:t xml:space="preserve">Booking / B/L reference</w:t>
      </w:r>
    </w:p>
    <w:p>
      <w:pPr>
        <w:pStyle w:val="ListParagraph"/>
        <w:numPr>
          <w:ilvl w:val="0"/>
          <w:numId w:val="1"/>
        </w:numPr>
        <w:spacing w:after="60"/>
      </w:pPr>
      <w:r>
        <w:t xml:space="preserve">Vessel, voyage, port rotation</w:t>
      </w:r>
    </w:p>
    <w:p>
      <w:pPr>
        <w:pStyle w:val="ListParagraph"/>
        <w:numPr>
          <w:ilvl w:val="0"/>
          <w:numId w:val="1"/>
        </w:numPr>
        <w:spacing w:after="60"/>
      </w:pPr>
      <w:r>
        <w:t xml:space="preserve">Transport and equipment events with timestamps</w:t>
      </w:r>
    </w:p>
    <w:p>
      <w:pPr>
        <w:pStyle w:val="ListParagraph"/>
        <w:numPr>
          <w:ilvl w:val="0"/>
          <w:numId w:val="1"/>
        </w:numPr>
        <w:spacing w:after="60"/>
      </w:pPr>
      <w:r>
        <w:t xml:space="preserve">Estimated and actual dates</w:t>
      </w:r>
    </w:p>
    <w:p>
      <w:pPr>
        <w:spacing w:after="120"/>
      </w:pPr>
      <w:r>
        <w:rPr>
          <w:i/>
          <w:iCs/>
          <w:color w:val="666666"/>
        </w:rPr>
        <w:t xml:space="preserve">Notes: Public tier has a reported 6–12 hour data lag and thinner event detail than the partner tier. As an existing partner, we should request partner-tier access via our account contact rather than self-registering on the public tier only.</w:t>
      </w:r>
    </w:p>
    <w:p>
      <w:pPr>
        <w:pStyle w:val="Heading2"/>
        <w:spacing w:after="120" w:before="240"/>
      </w:pPr>
      <w:r>
        <w:t xml:space="preserve">3.3 MSC</w:t>
      </w:r>
    </w:p>
    <w:p>
      <w:pPr>
        <w:spacing w:after="120"/>
      </w:pPr>
      <w:r>
        <w:rPr>
          <w:b/>
          <w:bCs/>
        </w:rPr>
        <w:t xml:space="preserve">Portal: developerportal.msc.com</w:t>
      </w:r>
    </w:p>
    <w:p>
      <w:pPr>
        <w:spacing w:after="120"/>
      </w:pPr>
      <w:r>
        <w:t xml:space="preserve">Relevant service: Track &amp; Trace (included even in the entry-level "Basic" integration package — no need for Booking, VGM, or BL tiers for our use case).</w:t>
      </w:r>
    </w:p>
    <w:p>
      <w:pPr>
        <w:spacing w:after="120"/>
      </w:pPr>
      <w:r>
        <w:t xml:space="preserve">Data fields provided:</w:t>
      </w:r>
    </w:p>
    <w:p>
      <w:pPr>
        <w:pStyle w:val="ListParagraph"/>
        <w:numPr>
          <w:ilvl w:val="0"/>
          <w:numId w:val="1"/>
        </w:numPr>
        <w:spacing w:after="60"/>
      </w:pPr>
      <w:r>
        <w:t xml:space="preserve">Container number, size/type</w:t>
      </w:r>
    </w:p>
    <w:p>
      <w:pPr>
        <w:pStyle w:val="ListParagraph"/>
        <w:numPr>
          <w:ilvl w:val="0"/>
          <w:numId w:val="1"/>
        </w:numPr>
        <w:spacing w:after="60"/>
      </w:pPr>
      <w:r>
        <w:t xml:space="preserve">Booking / B/L reference</w:t>
      </w:r>
    </w:p>
    <w:p>
      <w:pPr>
        <w:pStyle w:val="ListParagraph"/>
        <w:numPr>
          <w:ilvl w:val="0"/>
          <w:numId w:val="1"/>
        </w:numPr>
        <w:spacing w:after="60"/>
      </w:pPr>
      <w:r>
        <w:t xml:space="preserve">Vessel, voyage, port rotation, schedules</w:t>
      </w:r>
    </w:p>
    <w:p>
      <w:pPr>
        <w:pStyle w:val="ListParagraph"/>
        <w:numPr>
          <w:ilvl w:val="0"/>
          <w:numId w:val="1"/>
        </w:numPr>
        <w:spacing w:after="60"/>
      </w:pPr>
      <w:r>
        <w:t xml:space="preserve">Shipment status and milestone events</w:t>
      </w:r>
    </w:p>
    <w:p>
      <w:pPr>
        <w:pStyle w:val="ListParagraph"/>
        <w:numPr>
          <w:ilvl w:val="0"/>
          <w:numId w:val="1"/>
        </w:numPr>
        <w:spacing w:after="60"/>
      </w:pPr>
      <w:r>
        <w:t xml:space="preserve">Estimated and actual dates</w:t>
      </w:r>
    </w:p>
    <w:p>
      <w:pPr>
        <w:spacing w:after="120"/>
      </w:pPr>
      <w:r>
        <w:rPr>
          <w:i/>
          <w:iCs/>
          <w:color w:val="666666"/>
        </w:rPr>
        <w:t xml:space="preserve">Notes: API usage capped at 100,000 calls/day and 4 calls/second (fixed, not negotiable). Production credentials are issued only after formal onboarding — the public developer portal is sandbox/reference only.</w:t>
      </w:r>
    </w:p>
    <w:p>
      <w:pPr>
        <w:pStyle w:val="Heading1"/>
        <w:spacing w:after="150" w:before="300"/>
      </w:pPr>
      <w:r>
        <w:t xml:space="preserve">4. How to Acquire API Access as a Partner</w:t>
      </w:r>
    </w:p>
    <w:p>
      <w:pPr>
        <w:pStyle w:val="Heading2"/>
        <w:spacing w:after="120" w:before="240"/>
      </w:pPr>
      <w:r>
        <w:t xml:space="preserve">4.1 Maersk</w:t>
      </w:r>
    </w:p>
    <w:p>
      <w:pPr>
        <w:pStyle w:val="ListParagraph"/>
        <w:numPr>
          <w:ilvl w:val="0"/>
          <w:numId w:val="1"/>
        </w:numPr>
        <w:spacing w:after="60"/>
      </w:pPr>
      <w:r>
        <w:t xml:space="preserve">Register at developer.maersk.com</w:t>
      </w:r>
    </w:p>
    <w:p>
      <w:pPr>
        <w:pStyle w:val="ListParagraph"/>
        <w:numPr>
          <w:ilvl w:val="0"/>
          <w:numId w:val="1"/>
        </w:numPr>
        <w:spacing w:after="60"/>
      </w:pPr>
      <w:r>
        <w:t xml:space="preserve">Generate an API key</w:t>
      </w:r>
    </w:p>
    <w:p>
      <w:pPr>
        <w:pStyle w:val="ListParagraph"/>
        <w:numPr>
          <w:ilvl w:val="0"/>
          <w:numId w:val="1"/>
        </w:numPr>
        <w:spacing w:after="60"/>
      </w:pPr>
      <w:r>
        <w:t xml:space="preserve">Test in the sandbox environment</w:t>
      </w:r>
    </w:p>
    <w:p>
      <w:pPr>
        <w:pStyle w:val="ListParagraph"/>
        <w:numPr>
          <w:ilvl w:val="0"/>
          <w:numId w:val="1"/>
        </w:numPr>
        <w:spacing w:after="60"/>
      </w:pPr>
      <w:r>
        <w:t xml:space="preserve">Move to production — no mandatory sales approval for Track &amp; Trace</w:t>
      </w:r>
    </w:p>
    <w:p>
      <w:pPr>
        <w:pStyle w:val="Heading2"/>
        <w:spacing w:after="120" w:before="240"/>
      </w:pPr>
      <w:r>
        <w:t xml:space="preserve">4.2 CMA CGM</w:t>
      </w:r>
    </w:p>
    <w:p>
      <w:pPr>
        <w:pStyle w:val="ListParagraph"/>
        <w:numPr>
          <w:ilvl w:val="0"/>
          <w:numId w:val="1"/>
        </w:numPr>
        <w:spacing w:after="60"/>
      </w:pPr>
      <w:r>
        <w:t xml:space="preserve">Register on api-portal.cma-cgm.com for the public tier to begin prototyping</w:t>
      </w:r>
    </w:p>
    <w:p>
      <w:pPr>
        <w:pStyle w:val="ListParagraph"/>
        <w:numPr>
          <w:ilvl w:val="0"/>
          <w:numId w:val="1"/>
        </w:numPr>
        <w:spacing w:after="60"/>
      </w:pPr>
      <w:r>
        <w:t xml:space="preserve">In parallel, contact our existing CMA CGM commercial/account representative and request escalation to the partner-tier API, referencing our existing partnership</w:t>
      </w:r>
    </w:p>
    <w:p>
      <w:pPr>
        <w:pStyle w:val="ListParagraph"/>
        <w:numPr>
          <w:ilvl w:val="0"/>
          <w:numId w:val="1"/>
        </w:numPr>
        <w:spacing w:after="60"/>
      </w:pPr>
      <w:r>
        <w:t xml:space="preserve">Confirm whether EDI is needed alongside the API for any booking/BL workflows</w:t>
      </w:r>
    </w:p>
    <w:p>
      <w:pPr>
        <w:pStyle w:val="Heading2"/>
        <w:spacing w:after="120" w:before="240"/>
      </w:pPr>
      <w:r>
        <w:t xml:space="preserve">4.3 MSC</w:t>
      </w:r>
    </w:p>
    <w:p>
      <w:pPr>
        <w:pStyle w:val="ListParagraph"/>
        <w:numPr>
          <w:ilvl w:val="0"/>
          <w:numId w:val="1"/>
        </w:numPr>
        <w:spacing w:after="60"/>
      </w:pPr>
      <w:r>
        <w:t xml:space="preserve">Submit an integration request via the form linked from developerportal.msc.com</w:t>
      </w:r>
    </w:p>
    <w:p>
      <w:pPr>
        <w:pStyle w:val="ListParagraph"/>
        <w:numPr>
          <w:ilvl w:val="0"/>
          <w:numId w:val="1"/>
        </w:numPr>
        <w:spacing w:after="60"/>
      </w:pPr>
      <w:r>
        <w:t xml:space="preserve">Specify the "Basic" integration package (Track &amp; Trace + Schedules only — sufficient for our use case)</w:t>
      </w:r>
    </w:p>
    <w:p>
      <w:pPr>
        <w:pStyle w:val="ListParagraph"/>
        <w:numPr>
          <w:ilvl w:val="0"/>
          <w:numId w:val="1"/>
        </w:numPr>
        <w:spacing w:after="60"/>
      </w:pPr>
      <w:r>
        <w:t xml:space="preserve">Sign the required Data Sharing Agreement</w:t>
      </w:r>
    </w:p>
    <w:p>
      <w:pPr>
        <w:pStyle w:val="ListParagraph"/>
        <w:numPr>
          <w:ilvl w:val="0"/>
          <w:numId w:val="1"/>
        </w:numPr>
        <w:spacing w:after="60"/>
      </w:pPr>
      <w:r>
        <w:t xml:space="preserve">Work with MSC's technical team on connection setup and UAT testing</w:t>
      </w:r>
    </w:p>
    <w:p>
      <w:pPr>
        <w:pStyle w:val="ListParagraph"/>
        <w:numPr>
          <w:ilvl w:val="0"/>
          <w:numId w:val="1"/>
        </w:numPr>
        <w:spacing w:after="60"/>
      </w:pPr>
      <w:r>
        <w:t xml:space="preserve">Go live — production credentials issued only after this process is complete</w:t>
      </w:r>
    </w:p>
    <w:p>
      <w:pPr>
        <w:pStyle w:val="Heading1"/>
        <w:spacing w:after="150" w:before="300"/>
      </w:pPr>
      <w:r>
        <w:t xml:space="preserve">5. Integration Plan</w:t>
      </w:r>
    </w:p>
    <w:p>
      <w:pPr>
        <w:pStyle w:val="Heading2"/>
        <w:spacing w:after="120" w:before="240"/>
      </w:pPr>
      <w:r>
        <w:t xml:space="preserve">5.1 Carrier detection</w:t>
      </w:r>
    </w:p>
    <w:p>
      <w:pPr>
        <w:spacing w:after="120"/>
      </w:pPr>
      <w:r>
        <w:t xml:space="preserve">Each carrier's API only returns data for its own shipments — a container number cannot simply be sent to all three endpoints. The first 4 letters of a container number (the owner prefix, e.g. MAEU, MSCU, CMAU/CGMU) identify the carrier. We will maintain a prefix lookup table for automatic routing, and additionally capture the carrier at booking time so it is stored alongside the container number for guaranteed accuracy — particularly for edge cases on the Matadi/Kinshasa river-port leg.</w:t>
      </w:r>
    </w:p>
    <w:p>
      <w:pPr>
        <w:pStyle w:val="Heading2"/>
        <w:spacing w:after="120" w:before="240"/>
      </w:pPr>
      <w:r>
        <w:t xml:space="preserve">5.2 Data model</w:t>
      </w:r>
    </w:p>
    <w:p>
      <w:pPr>
        <w:spacing w:after="120"/>
      </w:pPr>
      <w:r>
        <w:t xml:space="preserve">Build a single internal schema modeled on DCSA fields (container, event type, event date/time, location, vessel, voyage) rather than storing each carrier's raw format. This keeps the tracking UI carrier-agnostic and makes it easy to add carriers later.</w:t>
      </w:r>
    </w:p>
    <w:p>
      <w:pPr>
        <w:pStyle w:val="Heading2"/>
        <w:spacing w:after="120" w:before="240"/>
      </w:pPr>
      <w:r>
        <w:t xml:space="preserve">5.3 Adapter layer</w:t>
      </w:r>
    </w:p>
    <w:p>
      <w:pPr>
        <w:spacing w:after="120"/>
      </w:pPr>
      <w:r>
        <w:t xml:space="preserve">Implement one lightweight adapter per carrier to normalize each API's response (different field names and event labels) into the shared internal schema before it reaches the database or UI.</w:t>
      </w:r>
    </w:p>
    <w:p>
      <w:pPr>
        <w:pStyle w:val="Heading2"/>
        <w:spacing w:after="120" w:before="240"/>
      </w:pPr>
      <w:r>
        <w:t xml:space="preserve">5.4 Data refresh strategy</w:t>
      </w:r>
    </w:p>
    <w:p>
      <w:pPr>
        <w:pStyle w:val="ListParagraph"/>
        <w:numPr>
          <w:ilvl w:val="0"/>
          <w:numId w:val="1"/>
        </w:numPr>
        <w:spacing w:after="60"/>
      </w:pPr>
      <w:r>
        <w:t xml:space="preserve">Prefer webhooks / push notifications where available (Maersk, MSC) over polling</w:t>
      </w:r>
    </w:p>
    <w:p>
      <w:pPr>
        <w:pStyle w:val="ListParagraph"/>
        <w:numPr>
          <w:ilvl w:val="0"/>
          <w:numId w:val="1"/>
        </w:numPr>
        <w:spacing w:after="60"/>
      </w:pPr>
      <w:r>
        <w:t xml:space="preserve">For polling, only re-query containers still in transit — skip delivered shipments</w:t>
      </w:r>
    </w:p>
    <w:p>
      <w:pPr>
        <w:pStyle w:val="ListParagraph"/>
        <w:numPr>
          <w:ilvl w:val="0"/>
          <w:numId w:val="1"/>
        </w:numPr>
        <w:spacing w:after="60"/>
      </w:pPr>
      <w:r>
        <w:t xml:space="preserve">Respect MSC's 100,000 calls/day and 4 calls/second cap through caching and query batching</w:t>
      </w:r>
    </w:p>
    <w:p>
      <w:pPr>
        <w:pStyle w:val="Heading2"/>
        <w:spacing w:after="120" w:before="240"/>
      </w:pPr>
      <w:r>
        <w:t xml:space="preserve">5.5 Testing</w:t>
      </w:r>
    </w:p>
    <w:p>
      <w:pPr>
        <w:spacing w:after="120"/>
      </w:pPr>
      <w:r>
        <w:t xml:space="preserve">Before go-live, validate tracking specifically on our real lanes — Montreal to Douala, Abidjan, Dakar, Matadi, and Kinshasa — since these routes involve transshipment and, for Matadi/Kinshasa, a river-port leg that may show gaps in milestone data.</w:t>
      </w:r>
    </w:p>
    <w:p>
      <w:pPr>
        <w:pStyle w:val="Heading1"/>
        <w:spacing w:after="150" w:before="300"/>
      </w:pPr>
      <w:r>
        <w:t xml:space="preserve">6. Summary / Next Steps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800"/>
      </w:tblGrid>
      <w:tr>
        <w:trPr>
          <w:tblHeader/>
        </w:trPr>
        <w:tc>
          <w:tcPr>
            <w:tcW w:type="dxa" w:w="3400"/>
            <w:shd w:fill="1D4E89" w:val="clear"/>
            <w:tcMar>
              <w:top w:type="dxa" w:w="80"/>
              <w:left w:type="dxa" w:w="100"/>
              <w:bottom w:type="dxa" w:w="80"/>
              <w:right w:type="dxa" w:w="100"/>
            </w:tcMar>
          </w:tcPr>
          <w:p>
            <w:r>
              <w:rPr>
                <w:b/>
                <w:bCs/>
                <w:color w:val="FFFFFF"/>
                <w:sz w:val="20"/>
                <w:szCs w:val="20"/>
              </w:rPr>
              <w:t xml:space="preserve">Step</w:t>
            </w:r>
          </w:p>
        </w:tc>
        <w:tc>
          <w:tcPr>
            <w:tcW w:type="dxa" w:w="2600"/>
            <w:shd w:fill="1D4E89" w:val="clear"/>
            <w:tcMar>
              <w:top w:type="dxa" w:w="80"/>
              <w:left w:type="dxa" w:w="100"/>
              <w:bottom w:type="dxa" w:w="80"/>
              <w:right w:type="dxa" w:w="100"/>
            </w:tcMar>
          </w:tcPr>
          <w:p>
            <w:r>
              <w:rPr>
                <w:b/>
                <w:bCs/>
                <w:color w:val="FFFFFF"/>
                <w:sz w:val="20"/>
                <w:szCs w:val="20"/>
              </w:rPr>
              <w:t xml:space="preserve">Owner</w:t>
            </w:r>
          </w:p>
        </w:tc>
        <w:tc>
          <w:tcPr>
            <w:tcW w:type="dxa" w:w="3800"/>
            <w:shd w:fill="1D4E89" w:val="clear"/>
            <w:tcMar>
              <w:top w:type="dxa" w:w="80"/>
              <w:left w:type="dxa" w:w="100"/>
              <w:bottom w:type="dxa" w:w="80"/>
              <w:right w:type="dxa" w:w="100"/>
            </w:tcMar>
          </w:tcPr>
          <w:p>
            <w:r>
              <w:rPr>
                <w:b/>
                <w:bCs/>
                <w:color w:val="FFFFFF"/>
                <w:sz w:val="20"/>
                <w:szCs w:val="20"/>
              </w:rPr>
              <w:t xml:space="preserve">Notes</w:t>
            </w:r>
          </w:p>
        </w:tc>
      </w:tr>
      <w:tr>
        <w:tc>
          <w:tcPr>
            <w:tcW w:type="dxa" w:w="3400"/>
            <w:tcMar>
              <w:top w:type="dxa" w:w="80"/>
              <w:left w:type="dxa" w:w="100"/>
              <w:bottom w:type="dxa" w:w="80"/>
              <w:right w:type="dxa" w:w="100"/>
            </w:tcMar>
          </w:tcPr>
          <w:p>
            <w:r>
              <w:rPr>
                <w:b w:val="false"/>
                <w:bCs w:val="false"/>
                <w:sz w:val="20"/>
                <w:szCs w:val="20"/>
              </w:rPr>
              <w:t xml:space="preserve">Register on all 3 developer portals</w:t>
            </w:r>
          </w:p>
        </w:tc>
        <w:tc>
          <w:tcPr>
            <w:tcW w:type="dxa" w:w="2600"/>
            <w:tcMar>
              <w:top w:type="dxa" w:w="80"/>
              <w:left w:type="dxa" w:w="100"/>
              <w:bottom w:type="dxa" w:w="80"/>
              <w:right w:type="dxa" w:w="100"/>
            </w:tcMar>
          </w:tcPr>
          <w:p>
            <w:r>
              <w:rPr>
                <w:b w:val="false"/>
                <w:bCs w:val="false"/>
                <w:sz w:val="20"/>
                <w:szCs w:val="20"/>
              </w:rPr>
              <w:t xml:space="preserve">Dev team</w:t>
            </w:r>
          </w:p>
        </w:tc>
        <w:tc>
          <w:tcPr>
            <w:tcW w:type="dxa" w:w="3800"/>
            <w:tcMar>
              <w:top w:type="dxa" w:w="80"/>
              <w:left w:type="dxa" w:w="100"/>
              <w:bottom w:type="dxa" w:w="80"/>
              <w:right w:type="dxa" w:w="100"/>
            </w:tcMar>
          </w:tcPr>
          <w:p>
            <w:r>
              <w:rPr>
                <w:b w:val="false"/>
                <w:bCs w:val="false"/>
                <w:sz w:val="20"/>
                <w:szCs w:val="20"/>
              </w:rPr>
              <w:t xml:space="preserve">Free, immediate — start with Maersk</w:t>
            </w:r>
          </w:p>
        </w:tc>
      </w:tr>
      <w:tr>
        <w:tc>
          <w:tcPr>
            <w:tcW w:type="dxa" w:w="3400"/>
            <w:tcMar>
              <w:top w:type="dxa" w:w="80"/>
              <w:left w:type="dxa" w:w="100"/>
              <w:bottom w:type="dxa" w:w="80"/>
              <w:right w:type="dxa" w:w="100"/>
            </w:tcMar>
          </w:tcPr>
          <w:p>
            <w:r>
              <w:rPr>
                <w:b w:val="false"/>
                <w:bCs w:val="false"/>
                <w:sz w:val="20"/>
                <w:szCs w:val="20"/>
              </w:rPr>
              <w:t xml:space="preserve">Request CMA CGM partner-tier access</w:t>
            </w:r>
          </w:p>
        </w:tc>
        <w:tc>
          <w:tcPr>
            <w:tcW w:type="dxa" w:w="2600"/>
            <w:tcMar>
              <w:top w:type="dxa" w:w="80"/>
              <w:left w:type="dxa" w:w="100"/>
              <w:bottom w:type="dxa" w:w="80"/>
              <w:right w:type="dxa" w:w="100"/>
            </w:tcMar>
          </w:tcPr>
          <w:p>
            <w:r>
              <w:rPr>
                <w:b w:val="false"/>
                <w:bCs w:val="false"/>
                <w:sz w:val="20"/>
                <w:szCs w:val="20"/>
              </w:rPr>
              <w:t xml:space="preserve">Account/commercial contact</w:t>
            </w:r>
          </w:p>
        </w:tc>
        <w:tc>
          <w:tcPr>
            <w:tcW w:type="dxa" w:w="3800"/>
            <w:tcMar>
              <w:top w:type="dxa" w:w="80"/>
              <w:left w:type="dxa" w:w="100"/>
              <w:bottom w:type="dxa" w:w="80"/>
              <w:right w:type="dxa" w:w="100"/>
            </w:tcMar>
          </w:tcPr>
          <w:p>
            <w:r>
              <w:rPr>
                <w:b w:val="false"/>
                <w:bCs w:val="false"/>
                <w:sz w:val="20"/>
                <w:szCs w:val="20"/>
              </w:rPr>
              <w:t xml:space="preserve">Reference existing partnership</w:t>
            </w:r>
          </w:p>
        </w:tc>
      </w:tr>
      <w:tr>
        <w:tc>
          <w:tcPr>
            <w:tcW w:type="dxa" w:w="3400"/>
            <w:tcMar>
              <w:top w:type="dxa" w:w="80"/>
              <w:left w:type="dxa" w:w="100"/>
              <w:bottom w:type="dxa" w:w="80"/>
              <w:right w:type="dxa" w:w="100"/>
            </w:tcMar>
          </w:tcPr>
          <w:p>
            <w:r>
              <w:rPr>
                <w:b w:val="false"/>
                <w:bCs w:val="false"/>
                <w:sz w:val="20"/>
                <w:szCs w:val="20"/>
              </w:rPr>
              <w:t xml:space="preserve">Submit MSC integration request (Basic package)</w:t>
            </w:r>
          </w:p>
        </w:tc>
        <w:tc>
          <w:tcPr>
            <w:tcW w:type="dxa" w:w="2600"/>
            <w:tcMar>
              <w:top w:type="dxa" w:w="80"/>
              <w:left w:type="dxa" w:w="100"/>
              <w:bottom w:type="dxa" w:w="80"/>
              <w:right w:type="dxa" w:w="100"/>
            </w:tcMar>
          </w:tcPr>
          <w:p>
            <w:r>
              <w:rPr>
                <w:b w:val="false"/>
                <w:bCs w:val="false"/>
                <w:sz w:val="20"/>
                <w:szCs w:val="20"/>
              </w:rPr>
              <w:t xml:space="preserve">Dev team / commercial contact</w:t>
            </w:r>
          </w:p>
        </w:tc>
        <w:tc>
          <w:tcPr>
            <w:tcW w:type="dxa" w:w="3800"/>
            <w:tcMar>
              <w:top w:type="dxa" w:w="80"/>
              <w:left w:type="dxa" w:w="100"/>
              <w:bottom w:type="dxa" w:w="80"/>
              <w:right w:type="dxa" w:w="100"/>
            </w:tcMar>
          </w:tcPr>
          <w:p>
            <w:r>
              <w:rPr>
                <w:b w:val="false"/>
                <w:bCs w:val="false"/>
                <w:sz w:val="20"/>
                <w:szCs w:val="20"/>
              </w:rPr>
              <w:t xml:space="preserve">Requires Data Sharing Agreement</w:t>
            </w:r>
          </w:p>
        </w:tc>
      </w:tr>
      <w:tr>
        <w:tc>
          <w:tcPr>
            <w:tcW w:type="dxa" w:w="3400"/>
            <w:tcMar>
              <w:top w:type="dxa" w:w="80"/>
              <w:left w:type="dxa" w:w="100"/>
              <w:bottom w:type="dxa" w:w="80"/>
              <w:right w:type="dxa" w:w="100"/>
            </w:tcMar>
          </w:tcPr>
          <w:p>
            <w:r>
              <w:rPr>
                <w:b w:val="false"/>
                <w:bCs w:val="false"/>
                <w:sz w:val="20"/>
                <w:szCs w:val="20"/>
              </w:rPr>
              <w:t xml:space="preserve">Build carrier detection + adapter layer</w:t>
            </w:r>
          </w:p>
        </w:tc>
        <w:tc>
          <w:tcPr>
            <w:tcW w:type="dxa" w:w="2600"/>
            <w:tcMar>
              <w:top w:type="dxa" w:w="80"/>
              <w:left w:type="dxa" w:w="100"/>
              <w:bottom w:type="dxa" w:w="80"/>
              <w:right w:type="dxa" w:w="100"/>
            </w:tcMar>
          </w:tcPr>
          <w:p>
            <w:r>
              <w:rPr>
                <w:b w:val="false"/>
                <w:bCs w:val="false"/>
                <w:sz w:val="20"/>
                <w:szCs w:val="20"/>
              </w:rPr>
              <w:t xml:space="preserve">Dev team</w:t>
            </w:r>
          </w:p>
        </w:tc>
        <w:tc>
          <w:tcPr>
            <w:tcW w:type="dxa" w:w="3800"/>
            <w:tcMar>
              <w:top w:type="dxa" w:w="80"/>
              <w:left w:type="dxa" w:w="100"/>
              <w:bottom w:type="dxa" w:w="80"/>
              <w:right w:type="dxa" w:w="100"/>
            </w:tcMar>
          </w:tcPr>
          <w:p>
            <w:r>
              <w:rPr>
                <w:b w:val="false"/>
                <w:bCs w:val="false"/>
                <w:sz w:val="20"/>
                <w:szCs w:val="20"/>
              </w:rPr>
              <w:t xml:space="preserve">Prefix table + booking-time carrier capture</w:t>
            </w:r>
          </w:p>
        </w:tc>
      </w:tr>
      <w:tr>
        <w:tc>
          <w:tcPr>
            <w:tcW w:type="dxa" w:w="3400"/>
            <w:tcMar>
              <w:top w:type="dxa" w:w="80"/>
              <w:left w:type="dxa" w:w="100"/>
              <w:bottom w:type="dxa" w:w="80"/>
              <w:right w:type="dxa" w:w="100"/>
            </w:tcMar>
          </w:tcPr>
          <w:p>
            <w:r>
              <w:rPr>
                <w:b w:val="false"/>
                <w:bCs w:val="false"/>
                <w:sz w:val="20"/>
                <w:szCs w:val="20"/>
              </w:rPr>
              <w:t xml:space="preserve">Test on real Montreal–Africa lanes</w:t>
            </w:r>
          </w:p>
        </w:tc>
        <w:tc>
          <w:tcPr>
            <w:tcW w:type="dxa" w:w="2600"/>
            <w:tcMar>
              <w:top w:type="dxa" w:w="80"/>
              <w:left w:type="dxa" w:w="100"/>
              <w:bottom w:type="dxa" w:w="80"/>
              <w:right w:type="dxa" w:w="100"/>
            </w:tcMar>
          </w:tcPr>
          <w:p>
            <w:r>
              <w:rPr>
                <w:b w:val="false"/>
                <w:bCs w:val="false"/>
                <w:sz w:val="20"/>
                <w:szCs w:val="20"/>
              </w:rPr>
              <w:t xml:space="preserve">Dev team</w:t>
            </w:r>
          </w:p>
        </w:tc>
        <w:tc>
          <w:tcPr>
            <w:tcW w:type="dxa" w:w="3800"/>
            <w:tcMar>
              <w:top w:type="dxa" w:w="80"/>
              <w:left w:type="dxa" w:w="100"/>
              <w:bottom w:type="dxa" w:w="80"/>
              <w:right w:type="dxa" w:w="100"/>
            </w:tcMar>
          </w:tcPr>
          <w:p>
            <w:r>
              <w:rPr>
                <w:b w:val="false"/>
                <w:bCs w:val="false"/>
                <w:sz w:val="20"/>
                <w:szCs w:val="20"/>
              </w:rPr>
              <w:t xml:space="preserve">Focus on Matadi/Kinshasa edge cases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2026-09-12T15:52:17.415Z</dcterms:created>
  <dcterms:modified xsi:type="dcterms:W3CDTF">2026-09-12T15:52:17.426Z</dcterms:modified>
</cp:coreProperties>
</file>

<file path=docProps/custom.xml><?xml version="1.0" encoding="utf-8"?>
<Properties xmlns="http://schemas.openxmlformats.org/officeDocument/2006/custom-properties" xmlns:vt="http://schemas.openxmlformats.org/officeDocument/2006/docPropsVTypes"/>
</file>