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54BD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8B7E001" w14:textId="77777777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6541BFEC" w14:textId="10582445" w:rsidR="0071122E" w:rsidRDefault="00AB1F4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2FDA66" wp14:editId="0ED80583">
            <wp:extent cx="5972175" cy="374459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2EF4" w14:textId="1CD02EED" w:rsidR="00AB1F41" w:rsidRDefault="00AB1F4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A4F1C4" wp14:editId="201E9E1B">
            <wp:extent cx="5972175" cy="3811905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B88C" w14:textId="3E1FE090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54C5A776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8B8A0E5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1902973" w14:textId="244ACFC2" w:rsidR="0071122E" w:rsidRDefault="0071122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26BFC0D0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AB1F41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4D10B2F9" w:rsidR="0071122E" w:rsidRPr="00E66E00" w:rsidRDefault="000E1B07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>Baranoa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AB1F41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el enlace 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BE5304"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>Carlos Figueroa</w:t>
            </w:r>
            <w:r w:rsidR="00475F35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6887A0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64BDF">
              <w:rPr>
                <w:rFonts w:ascii="Arial" w:eastAsia="Arial" w:hAnsi="Arial" w:cs="Arial"/>
                <w:sz w:val="22"/>
                <w:szCs w:val="22"/>
              </w:rPr>
              <w:t>Baranoa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7315D8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0E060C1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5B683E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62AAE93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7DC1FF8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F64BDF">
              <w:rPr>
                <w:rFonts w:ascii="Arial" w:eastAsia="Arial" w:hAnsi="Arial" w:cs="Arial"/>
                <w:bCs/>
                <w:sz w:val="22"/>
                <w:szCs w:val="22"/>
              </w:rPr>
              <w:t>Alcaldía de Baranoa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1AA284F4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7D34DEB" w14:textId="77777777" w:rsidR="00475F35" w:rsidRDefault="00475F3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C52F3C8" w14:textId="48A92AD2" w:rsidR="00475F35" w:rsidRDefault="00475F35" w:rsidP="00475F3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AB1F41">
              <w:rPr>
                <w:rFonts w:ascii="Arial" w:hAnsi="Arial" w:cs="Arial"/>
                <w:color w:val="000000"/>
                <w:sz w:val="22"/>
                <w:szCs w:val="22"/>
              </w:rPr>
              <w:t>agosto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155F4315" w14:textId="49D3B7BB" w:rsid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FORMACIONES COMPLEMENTARIAS (de acuerdo con el POA del Municipio)</w:t>
            </w:r>
          </w:p>
          <w:p w14:paraId="029D4730" w14:textId="38186334" w:rsid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Empleabilidad (de acuerdo con lo estipulado en el POA)</w:t>
            </w:r>
          </w:p>
          <w:p w14:paraId="412C1401" w14:textId="77777777" w:rsid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Emprendimiento</w:t>
            </w:r>
          </w:p>
          <w:p w14:paraId="079FA767" w14:textId="53085283" w:rsidR="00475F35" w:rsidRP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12E5D996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5C48F9FC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AB1F4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24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AB1F4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A57423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 en</w:t>
            </w:r>
            <w:r w:rsidR="0067300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64BDF">
              <w:rPr>
                <w:rFonts w:ascii="Arial" w:eastAsia="Arial" w:hAnsi="Arial" w:cs="Arial"/>
                <w:sz w:val="22"/>
                <w:szCs w:val="22"/>
              </w:rPr>
              <w:t xml:space="preserve">la alcaldía del municipio de Baranoa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:00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inició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reunión con la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presencia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F64BDF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enlace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>Baranoa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Carlos Figueroa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3A445C">
              <w:rPr>
                <w:rFonts w:ascii="Arial" w:eastAsia="Arial" w:hAnsi="Arial" w:cs="Arial"/>
                <w:sz w:val="22"/>
                <w:szCs w:val="22"/>
              </w:rPr>
              <w:t xml:space="preserve">con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Orientador Ocupacional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Luis Carlos Rico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3172B">
              <w:rPr>
                <w:rFonts w:ascii="Arial" w:hAnsi="Arial" w:cs="Arial"/>
                <w:color w:val="000000"/>
                <w:sz w:val="22"/>
                <w:szCs w:val="22"/>
              </w:rPr>
              <w:t xml:space="preserve">con el objetivo central de articular todos los procesos de la ruta de atención del Sena para ejecutar las acciones pertinentes en el mes de </w:t>
            </w:r>
            <w:r w:rsidR="007315D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AGOSTO</w:t>
            </w:r>
            <w:r w:rsidR="005317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del 2022</w:t>
            </w:r>
            <w:r w:rsidR="0053172B">
              <w:rPr>
                <w:rFonts w:ascii="Arial" w:hAnsi="Arial" w:cs="Arial"/>
                <w:color w:val="000000"/>
                <w:sz w:val="22"/>
                <w:szCs w:val="22"/>
              </w:rPr>
              <w:t xml:space="preserve">  para las víctimas del conflicto armado del Municipio de </w:t>
            </w:r>
            <w:r w:rsidR="005317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BARANOA.</w:t>
            </w:r>
          </w:p>
          <w:p w14:paraId="2863FCBC" w14:textId="1EE37704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43268A8" w14:textId="1F816150" w:rsidR="003C44E9" w:rsidRDefault="003C44E9" w:rsidP="003C44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7F0105" w14:textId="4AFA3199" w:rsidR="003C44E9" w:rsidRDefault="003C44E9" w:rsidP="003C44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Durante el mes de </w:t>
            </w:r>
            <w:r w:rsidR="007315D8">
              <w:rPr>
                <w:rFonts w:ascii="Arial" w:eastAsia="Arial" w:hAnsi="Arial" w:cs="Arial"/>
                <w:sz w:val="22"/>
                <w:szCs w:val="22"/>
              </w:rPr>
              <w:t>agosto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año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POA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</w:t>
            </w:r>
            <w:r w:rsidR="006D5830" w:rsidRPr="00B36191">
              <w:rPr>
                <w:rFonts w:ascii="Arial" w:eastAsia="Arial" w:hAnsi="Arial" w:cs="Arial"/>
                <w:sz w:val="22"/>
                <w:szCs w:val="22"/>
              </w:rPr>
              <w:t>la</w:t>
            </w:r>
            <w:r w:rsidR="006D5830">
              <w:rPr>
                <w:rFonts w:ascii="Arial" w:eastAsia="Arial" w:hAnsi="Arial" w:cs="Arial"/>
                <w:sz w:val="22"/>
                <w:szCs w:val="22"/>
              </w:rPr>
              <w:t xml:space="preserve"> siguiente formación complementaria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5E3EA9D" w14:textId="43AC83C5" w:rsidR="003C44E9" w:rsidRDefault="003C44E9" w:rsidP="003C44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6680B6" w14:textId="77777777" w:rsidR="00AB1F41" w:rsidRDefault="00AB1F41" w:rsidP="00AB1F4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B1F41">
              <w:rPr>
                <w:rFonts w:ascii="Arial" w:eastAsia="Arial" w:hAnsi="Arial" w:cs="Arial"/>
                <w:sz w:val="22"/>
                <w:szCs w:val="22"/>
              </w:rPr>
              <w:t>Contabilidad y costos para los negocios</w:t>
            </w:r>
          </w:p>
          <w:p w14:paraId="52076878" w14:textId="66B8D036" w:rsidR="007315D8" w:rsidRPr="007315D8" w:rsidRDefault="00AB1F41" w:rsidP="00AB1F4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B1F41">
              <w:rPr>
                <w:rFonts w:ascii="Arial" w:eastAsia="Arial" w:hAnsi="Arial" w:cs="Arial"/>
                <w:sz w:val="22"/>
                <w:szCs w:val="22"/>
              </w:rPr>
              <w:t>mercadeo y ventas</w:t>
            </w:r>
          </w:p>
          <w:p w14:paraId="5C5FC100" w14:textId="607C0CDE" w:rsidR="00E05ADF" w:rsidRDefault="00E05ADF" w:rsidP="00E05A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13ECD0" w14:textId="5B189F20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9D83F6" w14:textId="77777777" w:rsidR="00AB1F41" w:rsidRDefault="00AB1F41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B97288" w14:textId="7C0A03D9" w:rsidR="007005C0" w:rsidRPr="00C7698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Varios: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21E78033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12EBC403" w:rsidR="006932E4" w:rsidRPr="006932E4" w:rsidRDefault="006D5830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realizará seguimiento a lo concertado en la Ruta Institucional y de acuerdo con lo que aparece en el POA 2022, para el Municipio de Baranoa con la población VICTIMA.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AB1F41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DC16" w14:textId="77777777" w:rsidR="00D51F65" w:rsidRDefault="00D51F65">
      <w:r>
        <w:separator/>
      </w:r>
    </w:p>
  </w:endnote>
  <w:endnote w:type="continuationSeparator" w:id="0">
    <w:p w14:paraId="299EBA4A" w14:textId="77777777" w:rsidR="00D51F65" w:rsidRDefault="00D5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2B23" w14:textId="77777777" w:rsidR="00D51F65" w:rsidRDefault="00D51F65">
      <w:r>
        <w:separator/>
      </w:r>
    </w:p>
  </w:footnote>
  <w:footnote w:type="continuationSeparator" w:id="0">
    <w:p w14:paraId="607AC1D6" w14:textId="77777777" w:rsidR="00D51F65" w:rsidRDefault="00D51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84238"/>
    <w:multiLevelType w:val="multilevel"/>
    <w:tmpl w:val="37EE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71CBA"/>
    <w:multiLevelType w:val="hybridMultilevel"/>
    <w:tmpl w:val="E3D88D08"/>
    <w:lvl w:ilvl="0" w:tplc="84F06464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6024D"/>
    <w:multiLevelType w:val="multilevel"/>
    <w:tmpl w:val="FF1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158D3"/>
    <w:multiLevelType w:val="hybridMultilevel"/>
    <w:tmpl w:val="594E5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3608">
    <w:abstractNumId w:val="2"/>
  </w:num>
  <w:num w:numId="2" w16cid:durableId="1547764748">
    <w:abstractNumId w:val="9"/>
  </w:num>
  <w:num w:numId="3" w16cid:durableId="1718504519">
    <w:abstractNumId w:val="11"/>
  </w:num>
  <w:num w:numId="4" w16cid:durableId="2109109832">
    <w:abstractNumId w:val="10"/>
  </w:num>
  <w:num w:numId="5" w16cid:durableId="61611309">
    <w:abstractNumId w:val="3"/>
  </w:num>
  <w:num w:numId="6" w16cid:durableId="297493495">
    <w:abstractNumId w:val="6"/>
  </w:num>
  <w:num w:numId="7" w16cid:durableId="858351430">
    <w:abstractNumId w:val="1"/>
  </w:num>
  <w:num w:numId="8" w16cid:durableId="565457541">
    <w:abstractNumId w:val="13"/>
  </w:num>
  <w:num w:numId="9" w16cid:durableId="1591155713">
    <w:abstractNumId w:val="7"/>
  </w:num>
  <w:num w:numId="10" w16cid:durableId="720981398">
    <w:abstractNumId w:val="4"/>
  </w:num>
  <w:num w:numId="11" w16cid:durableId="1868787084">
    <w:abstractNumId w:val="5"/>
  </w:num>
  <w:num w:numId="12" w16cid:durableId="949436985">
    <w:abstractNumId w:val="12"/>
    <w:lvlOverride w:ilvl="0">
      <w:lvl w:ilvl="0">
        <w:numFmt w:val="lowerLetter"/>
        <w:lvlText w:val="%1."/>
        <w:lvlJc w:val="left"/>
      </w:lvl>
    </w:lvlOverride>
  </w:num>
  <w:num w:numId="13" w16cid:durableId="1885096585">
    <w:abstractNumId w:val="8"/>
  </w:num>
  <w:num w:numId="14" w16cid:durableId="88390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E1B07"/>
    <w:rsid w:val="000F31E3"/>
    <w:rsid w:val="001005B3"/>
    <w:rsid w:val="0010687C"/>
    <w:rsid w:val="00154BA0"/>
    <w:rsid w:val="00155E97"/>
    <w:rsid w:val="001C5F7B"/>
    <w:rsid w:val="001F3ACE"/>
    <w:rsid w:val="00253DC7"/>
    <w:rsid w:val="00293F93"/>
    <w:rsid w:val="00294B2A"/>
    <w:rsid w:val="002A5AC3"/>
    <w:rsid w:val="002E3223"/>
    <w:rsid w:val="00332A9B"/>
    <w:rsid w:val="00383B60"/>
    <w:rsid w:val="003A445C"/>
    <w:rsid w:val="003C44E9"/>
    <w:rsid w:val="003F311C"/>
    <w:rsid w:val="0043577E"/>
    <w:rsid w:val="00451C79"/>
    <w:rsid w:val="00475F35"/>
    <w:rsid w:val="00494DA9"/>
    <w:rsid w:val="004C0798"/>
    <w:rsid w:val="004C39A1"/>
    <w:rsid w:val="004E792D"/>
    <w:rsid w:val="0053172B"/>
    <w:rsid w:val="005857E4"/>
    <w:rsid w:val="00594DD5"/>
    <w:rsid w:val="005A1B14"/>
    <w:rsid w:val="005A34F6"/>
    <w:rsid w:val="005A751B"/>
    <w:rsid w:val="005B3815"/>
    <w:rsid w:val="005B683E"/>
    <w:rsid w:val="005F44F8"/>
    <w:rsid w:val="00630E00"/>
    <w:rsid w:val="00641FC5"/>
    <w:rsid w:val="00661244"/>
    <w:rsid w:val="00661C29"/>
    <w:rsid w:val="0067300A"/>
    <w:rsid w:val="00687926"/>
    <w:rsid w:val="006932E4"/>
    <w:rsid w:val="006B611C"/>
    <w:rsid w:val="006D5830"/>
    <w:rsid w:val="007005C0"/>
    <w:rsid w:val="0071122E"/>
    <w:rsid w:val="007315D8"/>
    <w:rsid w:val="007D68C2"/>
    <w:rsid w:val="00813D1A"/>
    <w:rsid w:val="00842439"/>
    <w:rsid w:val="0087132F"/>
    <w:rsid w:val="008A3AD9"/>
    <w:rsid w:val="008F7FEE"/>
    <w:rsid w:val="00905887"/>
    <w:rsid w:val="00971CA9"/>
    <w:rsid w:val="00992D1E"/>
    <w:rsid w:val="00A57423"/>
    <w:rsid w:val="00AB1F41"/>
    <w:rsid w:val="00B36191"/>
    <w:rsid w:val="00B70629"/>
    <w:rsid w:val="00BB62F3"/>
    <w:rsid w:val="00BE5304"/>
    <w:rsid w:val="00C46A9F"/>
    <w:rsid w:val="00C7698D"/>
    <w:rsid w:val="00C775A4"/>
    <w:rsid w:val="00CD207E"/>
    <w:rsid w:val="00D51F65"/>
    <w:rsid w:val="00D54A3E"/>
    <w:rsid w:val="00D9496E"/>
    <w:rsid w:val="00E05ADF"/>
    <w:rsid w:val="00E479A1"/>
    <w:rsid w:val="00E66E00"/>
    <w:rsid w:val="00E6760C"/>
    <w:rsid w:val="00E80EE2"/>
    <w:rsid w:val="00F64BDF"/>
    <w:rsid w:val="00F6633E"/>
    <w:rsid w:val="00FB6B8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2</cp:revision>
  <dcterms:created xsi:type="dcterms:W3CDTF">2022-08-24T16:27:00Z</dcterms:created>
  <dcterms:modified xsi:type="dcterms:W3CDTF">2022-08-24T16:27:00Z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