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3B5E054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70B6E8C0" w14:textId="77777777" w:rsidR="00BD74C7" w:rsidRDefault="00BD74C7">
      <w:pPr>
        <w:jc w:val="both"/>
        <w:rPr>
          <w:noProof/>
        </w:rPr>
      </w:pPr>
    </w:p>
    <w:p w14:paraId="2EBA30D8" w14:textId="021EBFF6" w:rsidR="00D9496E" w:rsidRDefault="00BD74C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BEFC80" wp14:editId="660B3AA0">
            <wp:extent cx="5972175" cy="3899535"/>
            <wp:effectExtent l="0" t="0" r="9525" b="571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57D4EA3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E2ADF08" w14:textId="59DA6275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A000436" w14:textId="5DAE600F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5A8147E" w14:textId="1C26CE9D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7D1104A" w14:textId="4A6AA3A6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814FD0E" w14:textId="583CF58D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5A4F89E" w14:textId="14E28970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1BF3E77" w14:textId="30CC3E96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689D4CA" w14:textId="10B50A20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C521EB5" w14:textId="4570B841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0597FCA" w14:textId="54882A9E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6D7DF1F" w14:textId="22975512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2A75ED8" w14:textId="09EE4D01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60CCC40" w14:textId="04045F29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6C36C4E" w14:textId="77777777" w:rsidR="00BD74C7" w:rsidRDefault="00BD74C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ACTA No 001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5E83978B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F84878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5057C5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5057C5" w:rsidRPr="005057C5">
              <w:rPr>
                <w:color w:val="000000"/>
              </w:rPr>
              <w:t xml:space="preserve">Betty </w:t>
            </w:r>
            <w:proofErr w:type="spellStart"/>
            <w:r w:rsidR="005057C5" w:rsidRPr="005057C5">
              <w:rPr>
                <w:color w:val="000000"/>
              </w:rPr>
              <w:t>cudris</w:t>
            </w:r>
            <w:proofErr w:type="spellEnd"/>
            <w:r w:rsidR="005057C5" w:rsidRPr="005057C5">
              <w:rPr>
                <w:color w:val="000000"/>
              </w:rPr>
              <w:t xml:space="preserve"> morillo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E01F96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7AA88E12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057C5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057C5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4A3B3B2F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057C5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057C5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5D5A54F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366F01EF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1E1BFCC3" w14:textId="0837F312" w:rsidR="0071122E" w:rsidRPr="005057C5" w:rsidRDefault="000E1B07" w:rsidP="005057C5">
            <w:pPr>
              <w:shd w:val="clear" w:color="auto" w:fill="FFFFFF"/>
              <w:jc w:val="both"/>
              <w:rPr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52057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5057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r w:rsidR="005057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10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52057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A46733">
              <w:rPr>
                <w:rFonts w:ascii="Arial" w:eastAsia="Arial" w:hAnsi="Arial" w:cs="Arial"/>
                <w:sz w:val="22"/>
                <w:szCs w:val="22"/>
              </w:rPr>
              <w:t xml:space="preserve">la líder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</w:t>
            </w:r>
            <w:r w:rsidR="004D6F0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5057C5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5057C5" w:rsidRPr="005057C5">
              <w:rPr>
                <w:color w:val="000000"/>
              </w:rPr>
              <w:t xml:space="preserve">Betty </w:t>
            </w:r>
            <w:proofErr w:type="spellStart"/>
            <w:r w:rsidR="005057C5" w:rsidRPr="005057C5">
              <w:rPr>
                <w:color w:val="000000"/>
              </w:rPr>
              <w:t>cudris</w:t>
            </w:r>
            <w:proofErr w:type="spellEnd"/>
            <w:r w:rsidR="005057C5" w:rsidRPr="005057C5">
              <w:rPr>
                <w:color w:val="000000"/>
              </w:rPr>
              <w:t xml:space="preserve"> morillo</w:t>
            </w:r>
            <w:r w:rsidR="005057C5">
              <w:rPr>
                <w:color w:val="000000"/>
                <w:lang w:eastAsia="es-CO"/>
              </w:rPr>
              <w:t xml:space="preserve"> </w:t>
            </w:r>
            <w:r w:rsidR="004D6F02"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5057C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víctima </w:t>
            </w:r>
            <w:r>
              <w:rPr>
                <w:rFonts w:ascii="Arial" w:eastAsia="Arial" w:hAnsi="Arial" w:cs="Arial"/>
                <w:sz w:val="22"/>
                <w:szCs w:val="22"/>
              </w:rPr>
              <w:t>del Municipio de</w:t>
            </w:r>
            <w:r w:rsidR="00BF1D1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81732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</w:t>
            </w:r>
            <w:r w:rsidR="00F8487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2BC831B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BA5691" w14:textId="28820B04" w:rsidR="005A1B14" w:rsidRDefault="00A5742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l orientador ocupacional </w:t>
            </w:r>
            <w:r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les </w:t>
            </w:r>
            <w:r w:rsidR="006B611C">
              <w:rPr>
                <w:rFonts w:ascii="Arial" w:eastAsia="Arial" w:hAnsi="Arial" w:cs="Arial"/>
                <w:sz w:val="22"/>
                <w:szCs w:val="22"/>
              </w:rPr>
              <w:t xml:space="preserve">describe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a los asistentes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de forma concreta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los procesos de la ruta de atención del Sena -</w:t>
            </w:r>
            <w:r w:rsidR="0009710A">
              <w:rPr>
                <w:rFonts w:ascii="Arial" w:eastAsia="Arial" w:hAnsi="Arial" w:cs="Arial"/>
                <w:sz w:val="22"/>
                <w:szCs w:val="22"/>
              </w:rPr>
              <w:t>Formación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laboral, Intermediación laboral y Emprendimiento - para que se definan las acciones concretas </w:t>
            </w:r>
            <w:r w:rsidR="00687926">
              <w:rPr>
                <w:rFonts w:ascii="Arial" w:eastAsia="Arial" w:hAnsi="Arial" w:cs="Arial"/>
                <w:sz w:val="22"/>
                <w:szCs w:val="22"/>
              </w:rPr>
              <w:t xml:space="preserve">a ejecutar en el presente año con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un trabajo participativo y con consenso por parte de todos los asistentes </w:t>
            </w:r>
          </w:p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2DEEEC7B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1F2E80D" wp14:editId="1EBD0B7F">
                  <wp:extent cx="5972175" cy="344805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448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211D7D" w14:textId="1F7531E2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076D09" w14:textId="2755F9FC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Posteriormente los asistentes abordaron cada uno de los procesos: </w:t>
            </w:r>
          </w:p>
          <w:p w14:paraId="2863FCBC" w14:textId="0064BB4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22BC6" w14:textId="3E062A9D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9DAF8A" w14:textId="77777777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CD8ADE" w14:textId="3F3FDBF9" w:rsidR="00B36191" w:rsidRDefault="002A5AC3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Durante e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l mes de </w:t>
            </w:r>
            <w:r w:rsidR="005057C5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año 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2022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se anexo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3242F">
              <w:rPr>
                <w:rFonts w:ascii="Arial" w:eastAsia="Arial" w:hAnsi="Arial" w:cs="Arial"/>
                <w:sz w:val="22"/>
                <w:szCs w:val="22"/>
              </w:rPr>
              <w:t>al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B36191" w:rsidRPr="00B36191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3619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siguientes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formacion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es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complementaria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84BCDFC" w14:textId="1FA4BEB2" w:rsidR="00091D7B" w:rsidRDefault="00091D7B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3EA2AA" w14:textId="2E1CB7E3" w:rsidR="00F84878" w:rsidRDefault="00985FF2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Elaboración De Muñecos De Navidad </w:t>
            </w:r>
            <w:r w:rsidR="00607C6D">
              <w:rPr>
                <w:b/>
                <w:bCs/>
              </w:rPr>
              <w:t>– Centro CEDAGRO</w:t>
            </w:r>
          </w:p>
          <w:p w14:paraId="31F30DC9" w14:textId="1B813A9C" w:rsidR="00985FF2" w:rsidRDefault="00985FF2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 w:rsidRPr="00985FF2">
              <w:rPr>
                <w:b/>
                <w:bCs/>
              </w:rPr>
              <w:t>Elaboración De Productos De Aseo</w:t>
            </w:r>
            <w:r>
              <w:rPr>
                <w:b/>
                <w:bCs/>
              </w:rPr>
              <w:t xml:space="preserve"> – Centro Colombo</w:t>
            </w:r>
          </w:p>
          <w:p w14:paraId="47B2367B" w14:textId="67D0104A" w:rsidR="00985FF2" w:rsidRDefault="00985FF2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Fundamentos básicos en salud ocupacional - Centro CEDAGRO</w:t>
            </w:r>
          </w:p>
          <w:p w14:paraId="340DD135" w14:textId="48A730DF" w:rsidR="009E51CD" w:rsidRDefault="009E51CD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 w:rsidRPr="009E51CD">
              <w:rPr>
                <w:b/>
                <w:bCs/>
              </w:rPr>
              <w:t>Aplicación De Operaciones Contables Básicas</w:t>
            </w:r>
            <w:r>
              <w:rPr>
                <w:b/>
                <w:bCs/>
              </w:rPr>
              <w:t xml:space="preserve"> - Centro CEDAGRO</w:t>
            </w:r>
          </w:p>
          <w:p w14:paraId="510AACFC" w14:textId="6F87E911" w:rsidR="009E51CD" w:rsidRPr="0052057F" w:rsidRDefault="009E51CD" w:rsidP="0052057F">
            <w:pPr>
              <w:pStyle w:val="Prrafodelista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 w:rsidRPr="009E51CD">
              <w:rPr>
                <w:b/>
                <w:bCs/>
              </w:rPr>
              <w:t>Diseño, liquidación y pago de nómina</w:t>
            </w:r>
            <w:r>
              <w:rPr>
                <w:b/>
                <w:bCs/>
              </w:rPr>
              <w:t xml:space="preserve"> - Centro CEDAGRO</w:t>
            </w:r>
          </w:p>
          <w:p w14:paraId="2C684B09" w14:textId="77777777" w:rsidR="00F84878" w:rsidRPr="0052057F" w:rsidRDefault="00F84878" w:rsidP="0052057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1CFE66" w14:textId="51ADB19C" w:rsidR="003A445C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señala con respecto a la entrega de las formaciones complementarias que al ser enviadas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vía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correo electrónica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al correo </w:t>
            </w:r>
            <w:r w:rsidR="003A445C" w:rsidRPr="003A445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="002A5AC3" w:rsidRPr="0044062A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lcricom@sena.edu.co</w:t>
              </w:r>
            </w:hyperlink>
          </w:p>
          <w:p w14:paraId="6B29A715" w14:textId="2DD4DC85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deben:</w:t>
            </w:r>
          </w:p>
          <w:p w14:paraId="0974565F" w14:textId="777777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1D4AE2" w14:textId="5D6F84A2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1.Enviar el archivo Excel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Formato </w:t>
            </w:r>
            <w:bookmarkStart w:id="1" w:name="_Hlk94793302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de lista de aprendices donde deben registrar </w:t>
            </w:r>
            <w:r w:rsidR="00992D1E" w:rsidRPr="00992D1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TODOS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 xml:space="preserve">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datos de cada aprendiz solicitados en el formato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End w:id="1"/>
          </w:p>
          <w:p w14:paraId="4ACFC1B2" w14:textId="77777777" w:rsidR="00594DD5" w:rsidRDefault="00594DD5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FB700B" w14:textId="47F7BE77" w:rsidR="00E80EE2" w:rsidRDefault="00E80EE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2" w:name="_Hlk94793321"/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Enviar un archivo PDF con el </w:t>
            </w:r>
            <w:r w:rsidR="00992D1E">
              <w:rPr>
                <w:rFonts w:ascii="Arial" w:eastAsia="Arial" w:hAnsi="Arial" w:cs="Arial"/>
                <w:sz w:val="22"/>
                <w:szCs w:val="22"/>
              </w:rPr>
              <w:t>mismo orden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que se elaboró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el listado enunciado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previamente; con cada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uno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los documentos de identificación – </w:t>
            </w:r>
            <w:r>
              <w:rPr>
                <w:rFonts w:ascii="Arial" w:eastAsia="Arial" w:hAnsi="Arial" w:cs="Arial"/>
                <w:sz w:val="22"/>
                <w:szCs w:val="22"/>
              </w:rPr>
              <w:t>cedulas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, tarjetas de identidad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>- de</w:t>
            </w:r>
            <w:r w:rsidR="00594DD5">
              <w:rPr>
                <w:rFonts w:ascii="Arial" w:eastAsia="Arial" w:hAnsi="Arial" w:cs="Arial"/>
                <w:sz w:val="22"/>
                <w:szCs w:val="22"/>
              </w:rPr>
              <w:t xml:space="preserve"> los aprendices por ambos lados  </w:t>
            </w:r>
            <w:bookmarkEnd w:id="2"/>
          </w:p>
          <w:p w14:paraId="7538C853" w14:textId="2BB74E14" w:rsidR="001005B3" w:rsidRDefault="001005B3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34DB9CC" w14:textId="0652C435" w:rsidR="00661244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61244">
              <w:rPr>
                <w:rFonts w:ascii="Arial" w:eastAsia="Arial" w:hAnsi="Arial" w:cs="Arial"/>
                <w:sz w:val="22"/>
                <w:szCs w:val="22"/>
              </w:rPr>
              <w:lastRenderedPageBreak/>
              <w:t>3.</w:t>
            </w:r>
            <w:r w:rsidR="00383B6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3" w:name="_Hlk94793400"/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os documentos enunciados previamente; deberán ser enviados </w:t>
            </w:r>
            <w:r w:rsidRPr="00971CA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máximo el día 15 del mes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6124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anterior</w:t>
            </w:r>
            <w:r w:rsidRPr="00661244">
              <w:rPr>
                <w:rFonts w:ascii="Arial" w:eastAsia="Arial" w:hAnsi="Arial" w:cs="Arial"/>
                <w:sz w:val="22"/>
                <w:szCs w:val="22"/>
              </w:rPr>
              <w:t xml:space="preserve"> a la formación complementaria</w:t>
            </w:r>
            <w:bookmarkEnd w:id="3"/>
          </w:p>
          <w:p w14:paraId="45F3AC04" w14:textId="77777777" w:rsidR="0043577E" w:rsidRDefault="0043577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44A5E1" w14:textId="4D6D3BC7" w:rsidR="004E792D" w:rsidRDefault="0066124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4.El enlace de </w:t>
            </w:r>
            <w:r w:rsidR="002A5AC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9F7125">
              <w:rPr>
                <w:rFonts w:ascii="Arial" w:eastAsia="Arial" w:hAnsi="Arial" w:cs="Arial"/>
                <w:sz w:val="22"/>
                <w:szCs w:val="22"/>
              </w:rPr>
              <w:t>víctimas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deberá garantizar un espacio </w:t>
            </w:r>
            <w:r w:rsidR="00971CA9">
              <w:rPr>
                <w:rFonts w:ascii="Arial" w:eastAsia="Arial" w:hAnsi="Arial" w:cs="Arial"/>
                <w:sz w:val="22"/>
                <w:szCs w:val="22"/>
              </w:rPr>
              <w:t xml:space="preserve">físico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adecuado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para la formación complementaria con los protocolos de bioseguridad para prevenir contagio del COVID 19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y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 xml:space="preserve">logística acorde a la formación complementaria que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 w:rsidR="004E792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2F91EAC5" w14:textId="77777777" w:rsidR="004E792D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4B9B0D" w14:textId="7BD363FB" w:rsidR="00661244" w:rsidRDefault="004E792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En el comunicado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al enviar los documentos enunciados; deberá proporcionar la dirección </w:t>
            </w:r>
            <w:r w:rsidRPr="0043577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exacta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donde se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ejecutará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3577E">
              <w:rPr>
                <w:rFonts w:ascii="Arial" w:eastAsia="Arial" w:hAnsi="Arial" w:cs="Arial"/>
                <w:sz w:val="22"/>
                <w:szCs w:val="22"/>
              </w:rPr>
              <w:t>la formación</w:t>
            </w:r>
            <w:r w:rsidR="00661244">
              <w:rPr>
                <w:rFonts w:ascii="Arial" w:eastAsia="Arial" w:hAnsi="Arial" w:cs="Arial"/>
                <w:sz w:val="22"/>
                <w:szCs w:val="22"/>
              </w:rPr>
              <w:t xml:space="preserve"> complementaria </w:t>
            </w:r>
          </w:p>
          <w:p w14:paraId="77AF8A6B" w14:textId="245E1CFD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8AE1F6" w14:textId="42D625D4" w:rsidR="00154BA0" w:rsidRDefault="00154BA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poblaciones vulnerables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el responsable de enviar la lista de aprendices al orientador ocupacional del Sena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679D71D" w14:textId="2B3E3E8A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F20728" w14:textId="198A3F28" w:rsidR="00494DA9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El orientador ocupacional le informa al enlace de </w:t>
            </w:r>
            <w:r w:rsidR="005B3815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905887">
              <w:rPr>
                <w:rFonts w:ascii="Arial" w:eastAsia="Arial" w:hAnsi="Arial" w:cs="Arial"/>
                <w:sz w:val="22"/>
                <w:szCs w:val="22"/>
              </w:rPr>
              <w:t>victimas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 xml:space="preserve"> la importancia de que los aprendices estén registrados en Sofia Plus</w:t>
            </w:r>
            <w:r w:rsidR="00FF5913">
              <w:rPr>
                <w:rFonts w:ascii="Arial" w:eastAsia="Arial" w:hAnsi="Arial" w:cs="Arial"/>
                <w:sz w:val="22"/>
                <w:szCs w:val="22"/>
              </w:rPr>
              <w:t xml:space="preserve"> en   </w:t>
            </w:r>
            <w:r w:rsidR="00FF5913" w:rsidRPr="00FF5913">
              <w:rPr>
                <w:rFonts w:ascii="Arial" w:eastAsia="Arial" w:hAnsi="Arial" w:cs="Arial"/>
                <w:sz w:val="22"/>
                <w:szCs w:val="22"/>
              </w:rPr>
              <w:t>http://oferta.senasofiaplus.edu.co/sofia-oferta/registro.html</w:t>
            </w:r>
            <w:r w:rsidRPr="00494DA9">
              <w:rPr>
                <w:rFonts w:ascii="Arial" w:eastAsia="Arial" w:hAnsi="Arial" w:cs="Arial"/>
                <w:sz w:val="22"/>
                <w:szCs w:val="22"/>
              </w:rPr>
              <w:t>; quien le solicita envió de Video pedagógico de como registrarse en Sofia Plus para cooperar socializándolo con los aprendices a medida que se inscriben en la formación complementaria.</w:t>
            </w: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3F08A5E5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985FF2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85FF2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E9E43E" w14:textId="6850B3C5" w:rsidR="009E51CD" w:rsidRPr="009E51CD" w:rsidRDefault="000E1B07" w:rsidP="009E51CD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985FF2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>octubre</w:t>
            </w:r>
            <w:r w:rsidR="005A751B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</w:t>
            </w:r>
            <w:r w:rsidR="00985FF2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cual se impartirán </w:t>
            </w:r>
            <w:r w:rsidR="009E51CD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cinco </w:t>
            </w:r>
            <w:r w:rsidR="00985FF2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r w:rsidR="009E51CD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 w:rsidR="00985FF2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 w:rsidR="009E51CD" w:rsidRPr="009E51C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E51CD" w:rsidRPr="009E51CD">
              <w:t>Elaboración De Muñecos De Navidad – Centro CEDAGRO,</w:t>
            </w:r>
          </w:p>
          <w:p w14:paraId="5F757B8A" w14:textId="204CE875" w:rsidR="009E51CD" w:rsidRPr="009E51CD" w:rsidRDefault="009E51CD" w:rsidP="009E51CD">
            <w:pPr>
              <w:pStyle w:val="Prrafodelista"/>
              <w:ind w:left="720"/>
              <w:jc w:val="both"/>
            </w:pPr>
            <w:r w:rsidRPr="009E51CD">
              <w:t>Elaboración De Productos De Aseo – Centro Colombo, Fundamentos básicos en salud ocupacional - Centro CEDAGRO, Aplicación De Operaciones Contables Básicas - Centro CEDAGRO, Diseño, liquidación y pago de nómina - Centro CEDAGRO.</w:t>
            </w:r>
          </w:p>
          <w:p w14:paraId="6B0B942E" w14:textId="391150AC" w:rsidR="006932E4" w:rsidRPr="0083242F" w:rsidRDefault="006932E4" w:rsidP="009E5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6AEC0" w14:textId="77777777" w:rsidR="009408B8" w:rsidRDefault="009408B8">
      <w:r>
        <w:separator/>
      </w:r>
    </w:p>
  </w:endnote>
  <w:endnote w:type="continuationSeparator" w:id="0">
    <w:p w14:paraId="46DC5756" w14:textId="77777777" w:rsidR="009408B8" w:rsidRDefault="0094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93739" w14:textId="77777777" w:rsidR="009408B8" w:rsidRDefault="009408B8">
      <w:r>
        <w:separator/>
      </w:r>
    </w:p>
  </w:footnote>
  <w:footnote w:type="continuationSeparator" w:id="0">
    <w:p w14:paraId="3B3AAAB1" w14:textId="77777777" w:rsidR="009408B8" w:rsidRDefault="0094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54BA0"/>
    <w:rsid w:val="00155E97"/>
    <w:rsid w:val="001C5F7B"/>
    <w:rsid w:val="001F3ACE"/>
    <w:rsid w:val="00253DC7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40C0"/>
    <w:rsid w:val="004E792D"/>
    <w:rsid w:val="005057C5"/>
    <w:rsid w:val="0052057F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61244"/>
    <w:rsid w:val="0067300A"/>
    <w:rsid w:val="00684AA9"/>
    <w:rsid w:val="00687926"/>
    <w:rsid w:val="006932E4"/>
    <w:rsid w:val="006B611C"/>
    <w:rsid w:val="006D0CE9"/>
    <w:rsid w:val="007005C0"/>
    <w:rsid w:val="0071122E"/>
    <w:rsid w:val="00724FC4"/>
    <w:rsid w:val="00746640"/>
    <w:rsid w:val="007A5888"/>
    <w:rsid w:val="007D68C2"/>
    <w:rsid w:val="00813D1A"/>
    <w:rsid w:val="00817324"/>
    <w:rsid w:val="008247C2"/>
    <w:rsid w:val="0083242F"/>
    <w:rsid w:val="0087132F"/>
    <w:rsid w:val="008A3AD9"/>
    <w:rsid w:val="008B42B5"/>
    <w:rsid w:val="008F7FEE"/>
    <w:rsid w:val="00905887"/>
    <w:rsid w:val="009408B8"/>
    <w:rsid w:val="00971CA9"/>
    <w:rsid w:val="00985FF2"/>
    <w:rsid w:val="00992D1E"/>
    <w:rsid w:val="009A19C1"/>
    <w:rsid w:val="009E51CD"/>
    <w:rsid w:val="009F7125"/>
    <w:rsid w:val="00A36438"/>
    <w:rsid w:val="00A46733"/>
    <w:rsid w:val="00A57423"/>
    <w:rsid w:val="00A9699E"/>
    <w:rsid w:val="00AF52F9"/>
    <w:rsid w:val="00B36191"/>
    <w:rsid w:val="00B70629"/>
    <w:rsid w:val="00BB62F3"/>
    <w:rsid w:val="00BD74C7"/>
    <w:rsid w:val="00BE5304"/>
    <w:rsid w:val="00BF1D14"/>
    <w:rsid w:val="00BF69B1"/>
    <w:rsid w:val="00C46A9F"/>
    <w:rsid w:val="00C65818"/>
    <w:rsid w:val="00C70D66"/>
    <w:rsid w:val="00C775A4"/>
    <w:rsid w:val="00CD207E"/>
    <w:rsid w:val="00D54A3E"/>
    <w:rsid w:val="00D9496E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cricom@sena.edu.co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2022-10-18T21:09:00Z</dcterms:created>
  <dcterms:modified xsi:type="dcterms:W3CDTF">2022-10-18T21:09:00Z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2022-10-18T15:52:10Z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ed325c57-4f6f-44b3-acc5-9f22005c1e60</vt:lpwstr>
  </property>
  <property fmtid="{D5CDD505-2E9C-101B-9397-08002B2CF9AE}" pid="9" name="MSIP_Label_1299739c-ad3d-4908-806e-4d91151a6e13_ContentBits">
    <vt:lpwstr>0</vt:lpwstr>
  </property>
</Properties>
</file>