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Inhaltsverzeichnisberschrift"/>
            <w:jc w:val="both"/>
          </w:pPr>
          <w:r>
            <w:t>Inhaltsverzeichnis</w:t>
          </w:r>
        </w:p>
        <w:p w14:paraId="66DEE3AF" w14:textId="235D88DE" w:rsidR="001E2B86" w:rsidRDefault="000A31F3" w:rsidP="00846993">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Verzeichnis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Verzeichnis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Verzeichnis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Verzeichnis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Verzeichnis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Verzeichnis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Verzeichnis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Verzeichnis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Verzeichnis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Verzeichnis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Verzeichnis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Verzeichnis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Verzeichnis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Verzeichnis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Verzeichnis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Verzeichnis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Verzeichnis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Verzeichnis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Verzeichnis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Verzeichnis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Verzeichnis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berschrift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Default="00BC149D" w:rsidP="00846993">
      <w:pPr>
        <w:pStyle w:val="berschrift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6972AEA" w14:textId="5A74C9E3" w:rsidR="004C2215" w:rsidRPr="004C2215" w:rsidRDefault="004C2215" w:rsidP="004C2215">
      <w:pPr>
        <w:pStyle w:val="berschrift2"/>
        <w:rPr>
          <w:lang w:val="en-US"/>
        </w:rPr>
      </w:pPr>
      <w:r>
        <w:rPr>
          <w:lang w:val="en-US"/>
        </w:rPr>
        <w:t>Methodological literature overview</w:t>
      </w:r>
    </w:p>
    <w:p w14:paraId="3187B775" w14:textId="10E28061"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the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BC149D">
        <w:rPr>
          <w:rFonts w:ascii="Calibri" w:hAnsi="Calibri" w:cs="Calibri"/>
          <w:lang w:val="en-US"/>
        </w:rPr>
        <w:lastRenderedPageBreak/>
        <w:t xml:space="preserve">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 xml:space="preserve">are comparable with </w:t>
      </w:r>
      <w:proofErr w:type="gramStart"/>
      <w:r w:rsidR="0099332E" w:rsidRPr="00BC149D">
        <w:rPr>
          <w:rFonts w:ascii="Calibri" w:hAnsi="Calibri" w:cs="Calibri"/>
          <w:lang w:val="en-US"/>
        </w:rPr>
        <w:t>PIs</w:t>
      </w:r>
      <w:proofErr w:type="gramEnd"/>
      <w:r w:rsidR="0099332E" w:rsidRPr="00BC149D">
        <w:rPr>
          <w:rFonts w:ascii="Calibri" w:hAnsi="Calibri" w:cs="Calibri"/>
          <w:lang w:val="en-US"/>
        </w:rPr>
        <w:t xml:space="preserve">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w:t>
      </w:r>
      <w:r w:rsidR="00F82057" w:rsidRPr="00BC149D">
        <w:rPr>
          <w:rFonts w:ascii="Calibri" w:hAnsi="Calibri" w:cs="Calibri"/>
          <w:lang w:val="en-US"/>
        </w:rPr>
        <w:lastRenderedPageBreak/>
        <w:t xml:space="preserve">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8212" w:type="dxa"/>
        <w:tblCellMar>
          <w:left w:w="70" w:type="dxa"/>
          <w:right w:w="70" w:type="dxa"/>
        </w:tblCellMar>
        <w:tblLook w:val="04A0" w:firstRow="1" w:lastRow="0" w:firstColumn="1" w:lastColumn="0" w:noHBand="0" w:noVBand="1"/>
      </w:tblPr>
      <w:tblGrid>
        <w:gridCol w:w="2684"/>
        <w:gridCol w:w="369"/>
        <w:gridCol w:w="460"/>
        <w:gridCol w:w="460"/>
        <w:gridCol w:w="460"/>
        <w:gridCol w:w="460"/>
        <w:gridCol w:w="460"/>
        <w:gridCol w:w="460"/>
        <w:gridCol w:w="460"/>
        <w:gridCol w:w="460"/>
        <w:gridCol w:w="460"/>
        <w:gridCol w:w="1032"/>
      </w:tblGrid>
      <w:tr w:rsidR="00D50274" w:rsidRPr="00D50274" w14:paraId="2456FBB4" w14:textId="77777777" w:rsidTr="00BC1CA6">
        <w:trPr>
          <w:trHeight w:val="288"/>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540F8C" w14:textId="77777777" w:rsidR="00D50274" w:rsidRPr="00846993" w:rsidRDefault="00D50274" w:rsidP="00846993">
            <w:pPr>
              <w:spacing w:after="0" w:line="240" w:lineRule="auto"/>
              <w:jc w:val="both"/>
              <w:rPr>
                <w:rFonts w:ascii="Calibri" w:eastAsia="Times New Roman" w:hAnsi="Calibri" w:cs="Calibri"/>
                <w:color w:val="000000"/>
                <w:kern w:val="0"/>
                <w:lang w:val="en-US" w:eastAsia="de-DE"/>
                <w14:ligatures w14:val="none"/>
              </w:rPr>
            </w:pPr>
            <w:r w:rsidRPr="00846993">
              <w:rPr>
                <w:rFonts w:ascii="Calibri" w:eastAsia="Times New Roman" w:hAnsi="Calibri" w:cs="Calibri"/>
                <w:color w:val="000000"/>
                <w:kern w:val="0"/>
                <w:lang w:val="en-US" w:eastAsia="de-DE"/>
                <w14:ligatures w14:val="none"/>
              </w:rPr>
              <w:t> </w:t>
            </w:r>
          </w:p>
        </w:tc>
        <w:tc>
          <w:tcPr>
            <w:tcW w:w="356" w:type="dxa"/>
            <w:tcBorders>
              <w:top w:val="single" w:sz="8" w:space="0" w:color="auto"/>
              <w:left w:val="nil"/>
              <w:bottom w:val="single" w:sz="4" w:space="0" w:color="auto"/>
              <w:right w:val="nil"/>
            </w:tcBorders>
            <w:shd w:val="clear" w:color="auto" w:fill="auto"/>
            <w:noWrap/>
            <w:vAlign w:val="bottom"/>
            <w:hideMark/>
          </w:tcPr>
          <w:p w14:paraId="70E560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2L</w:t>
            </w:r>
          </w:p>
        </w:tc>
        <w:tc>
          <w:tcPr>
            <w:tcW w:w="460" w:type="dxa"/>
            <w:tcBorders>
              <w:top w:val="single" w:sz="8" w:space="0" w:color="auto"/>
              <w:left w:val="nil"/>
              <w:bottom w:val="single" w:sz="4" w:space="0" w:color="auto"/>
              <w:right w:val="nil"/>
            </w:tcBorders>
            <w:shd w:val="clear" w:color="auto" w:fill="auto"/>
            <w:noWrap/>
            <w:vAlign w:val="bottom"/>
            <w:hideMark/>
          </w:tcPr>
          <w:p w14:paraId="2AA2A5A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15</w:t>
            </w:r>
          </w:p>
        </w:tc>
        <w:tc>
          <w:tcPr>
            <w:tcW w:w="460" w:type="dxa"/>
            <w:tcBorders>
              <w:top w:val="single" w:sz="8" w:space="0" w:color="auto"/>
              <w:left w:val="nil"/>
              <w:bottom w:val="single" w:sz="4" w:space="0" w:color="auto"/>
              <w:right w:val="nil"/>
            </w:tcBorders>
            <w:shd w:val="clear" w:color="auto" w:fill="auto"/>
            <w:noWrap/>
            <w:vAlign w:val="bottom"/>
            <w:hideMark/>
          </w:tcPr>
          <w:p w14:paraId="3CBA6D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57192BD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7BB4B1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nil"/>
            </w:tcBorders>
            <w:shd w:val="clear" w:color="auto" w:fill="auto"/>
            <w:noWrap/>
            <w:vAlign w:val="bottom"/>
            <w:hideMark/>
          </w:tcPr>
          <w:p w14:paraId="5E100A8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35</w:t>
            </w:r>
          </w:p>
        </w:tc>
        <w:tc>
          <w:tcPr>
            <w:tcW w:w="460" w:type="dxa"/>
            <w:tcBorders>
              <w:top w:val="single" w:sz="8" w:space="0" w:color="auto"/>
              <w:left w:val="nil"/>
              <w:bottom w:val="single" w:sz="4" w:space="0" w:color="auto"/>
              <w:right w:val="nil"/>
            </w:tcBorders>
            <w:shd w:val="clear" w:color="auto" w:fill="auto"/>
            <w:noWrap/>
            <w:vAlign w:val="bottom"/>
            <w:hideMark/>
          </w:tcPr>
          <w:p w14:paraId="2870424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34</w:t>
            </w:r>
          </w:p>
        </w:tc>
        <w:tc>
          <w:tcPr>
            <w:tcW w:w="460" w:type="dxa"/>
            <w:tcBorders>
              <w:top w:val="single" w:sz="8" w:space="0" w:color="auto"/>
              <w:left w:val="nil"/>
              <w:bottom w:val="single" w:sz="4" w:space="0" w:color="auto"/>
              <w:right w:val="nil"/>
            </w:tcBorders>
            <w:shd w:val="clear" w:color="auto" w:fill="auto"/>
            <w:noWrap/>
            <w:vAlign w:val="bottom"/>
            <w:hideMark/>
          </w:tcPr>
          <w:p w14:paraId="75AC170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37</w:t>
            </w:r>
          </w:p>
        </w:tc>
        <w:tc>
          <w:tcPr>
            <w:tcW w:w="460" w:type="dxa"/>
            <w:tcBorders>
              <w:top w:val="single" w:sz="8" w:space="0" w:color="auto"/>
              <w:left w:val="nil"/>
              <w:bottom w:val="single" w:sz="4" w:space="0" w:color="auto"/>
              <w:right w:val="nil"/>
            </w:tcBorders>
            <w:shd w:val="clear" w:color="auto" w:fill="auto"/>
            <w:noWrap/>
            <w:vAlign w:val="bottom"/>
            <w:hideMark/>
          </w:tcPr>
          <w:p w14:paraId="65FB60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38</w:t>
            </w:r>
          </w:p>
        </w:tc>
        <w:tc>
          <w:tcPr>
            <w:tcW w:w="460" w:type="dxa"/>
            <w:tcBorders>
              <w:top w:val="single" w:sz="8" w:space="0" w:color="auto"/>
              <w:left w:val="nil"/>
              <w:bottom w:val="single" w:sz="4" w:space="0" w:color="auto"/>
              <w:right w:val="nil"/>
            </w:tcBorders>
            <w:shd w:val="clear" w:color="auto" w:fill="auto"/>
            <w:noWrap/>
            <w:vAlign w:val="bottom"/>
            <w:hideMark/>
          </w:tcPr>
          <w:p w14:paraId="77AFE2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39</w:t>
            </w:r>
          </w:p>
        </w:tc>
        <w:tc>
          <w:tcPr>
            <w:tcW w:w="10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19460E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This </w:t>
            </w:r>
            <w:proofErr w:type="spellStart"/>
            <w:r w:rsidRPr="00D50274">
              <w:rPr>
                <w:rFonts w:ascii="Calibri" w:eastAsia="Times New Roman" w:hAnsi="Calibri" w:cs="Calibri"/>
                <w:color w:val="000000"/>
                <w:kern w:val="0"/>
                <w:lang w:eastAsia="de-DE"/>
                <w14:ligatures w14:val="none"/>
              </w:rPr>
              <w:t>work</w:t>
            </w:r>
            <w:proofErr w:type="spellEnd"/>
          </w:p>
        </w:tc>
      </w:tr>
      <w:tr w:rsidR="00D50274" w:rsidRPr="00D50274" w14:paraId="55F9341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802E42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MIS</w:t>
            </w:r>
          </w:p>
        </w:tc>
        <w:tc>
          <w:tcPr>
            <w:tcW w:w="356" w:type="dxa"/>
            <w:tcBorders>
              <w:top w:val="nil"/>
              <w:left w:val="nil"/>
              <w:bottom w:val="single" w:sz="4" w:space="0" w:color="auto"/>
              <w:right w:val="nil"/>
            </w:tcBorders>
            <w:shd w:val="clear" w:color="auto" w:fill="auto"/>
            <w:noWrap/>
            <w:vAlign w:val="bottom"/>
            <w:hideMark/>
          </w:tcPr>
          <w:p w14:paraId="61F8B6F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8FFE0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11BD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9D82E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38C2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1432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1B3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CFFEA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6A08B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DD349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3C38469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1A82764C"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44F843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(True) </w:t>
            </w:r>
            <w:proofErr w:type="spellStart"/>
            <w:r w:rsidRPr="00D50274">
              <w:rPr>
                <w:rFonts w:ascii="Calibri" w:eastAsia="Times New Roman" w:hAnsi="Calibri" w:cs="Calibri"/>
                <w:color w:val="000000"/>
                <w:kern w:val="0"/>
                <w:lang w:eastAsia="de-DE"/>
                <w14:ligatures w14:val="none"/>
              </w:rPr>
              <w:t>coverage</w:t>
            </w:r>
            <w:proofErr w:type="spellEnd"/>
            <w:r w:rsidRPr="00D50274">
              <w:rPr>
                <w:rFonts w:ascii="Calibri" w:eastAsia="Times New Roman" w:hAnsi="Calibri" w:cs="Calibri"/>
                <w:color w:val="000000"/>
                <w:kern w:val="0"/>
                <w:lang w:eastAsia="de-DE"/>
                <w14:ligatures w14:val="none"/>
              </w:rPr>
              <w:t xml:space="preserve"> / PICP / ECP</w:t>
            </w:r>
          </w:p>
        </w:tc>
        <w:tc>
          <w:tcPr>
            <w:tcW w:w="356" w:type="dxa"/>
            <w:tcBorders>
              <w:top w:val="nil"/>
              <w:left w:val="nil"/>
              <w:bottom w:val="single" w:sz="4" w:space="0" w:color="auto"/>
              <w:right w:val="nil"/>
            </w:tcBorders>
            <w:shd w:val="clear" w:color="auto" w:fill="auto"/>
            <w:noWrap/>
            <w:vAlign w:val="bottom"/>
            <w:hideMark/>
          </w:tcPr>
          <w:p w14:paraId="0990C8A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26E03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1783B3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C8505A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6377D0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C3BAA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4DC54F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B529D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81376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DA3983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814A1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E812193"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1A00F9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Upper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3281F64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ED11C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2D923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A4EEE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25FF4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FA17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A0FA3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ABD01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B5BFB5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2C54C4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60B672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3CA85A6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AF1FF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Lower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70E408D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3458E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4286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93D4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2CD1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7CAE1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F33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CD571C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79F5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BA91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487146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4645532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21A11D3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ACE</w:t>
            </w:r>
          </w:p>
        </w:tc>
        <w:tc>
          <w:tcPr>
            <w:tcW w:w="356" w:type="dxa"/>
            <w:tcBorders>
              <w:top w:val="nil"/>
              <w:left w:val="nil"/>
              <w:bottom w:val="single" w:sz="4" w:space="0" w:color="auto"/>
              <w:right w:val="nil"/>
            </w:tcBorders>
            <w:shd w:val="clear" w:color="auto" w:fill="auto"/>
            <w:noWrap/>
            <w:vAlign w:val="bottom"/>
            <w:hideMark/>
          </w:tcPr>
          <w:p w14:paraId="3CEA0A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90EE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80D9FB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DB617C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DBC4D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BF9A18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B7763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3DF2B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954A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C4B3ED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5DB6BB8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509D0BD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6C93FDF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t>
            </w:r>
          </w:p>
        </w:tc>
        <w:tc>
          <w:tcPr>
            <w:tcW w:w="356" w:type="dxa"/>
            <w:tcBorders>
              <w:top w:val="nil"/>
              <w:left w:val="nil"/>
              <w:bottom w:val="single" w:sz="4" w:space="0" w:color="auto"/>
              <w:right w:val="nil"/>
            </w:tcBorders>
            <w:shd w:val="clear" w:color="auto" w:fill="auto"/>
            <w:noWrap/>
            <w:vAlign w:val="bottom"/>
            <w:hideMark/>
          </w:tcPr>
          <w:p w14:paraId="048213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3855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395C7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9D722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307CE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A35BC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A9EDE9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BCD3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B16EDF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9B3807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1654DC8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6DD001A0"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3DB5C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w:t>
            </w:r>
          </w:p>
        </w:tc>
        <w:tc>
          <w:tcPr>
            <w:tcW w:w="356" w:type="dxa"/>
            <w:tcBorders>
              <w:top w:val="nil"/>
              <w:left w:val="nil"/>
              <w:bottom w:val="single" w:sz="4" w:space="0" w:color="auto"/>
              <w:right w:val="nil"/>
            </w:tcBorders>
            <w:shd w:val="clear" w:color="auto" w:fill="auto"/>
            <w:noWrap/>
            <w:vAlign w:val="bottom"/>
            <w:hideMark/>
          </w:tcPr>
          <w:p w14:paraId="01877C5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BA8D9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D7C91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9F2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721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1CE5F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000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FF47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75ED1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1651F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F53682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FB803BB"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FDB466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SWR</w:t>
            </w:r>
          </w:p>
        </w:tc>
        <w:tc>
          <w:tcPr>
            <w:tcW w:w="356" w:type="dxa"/>
            <w:tcBorders>
              <w:top w:val="nil"/>
              <w:left w:val="nil"/>
              <w:bottom w:val="single" w:sz="4" w:space="0" w:color="auto"/>
              <w:right w:val="nil"/>
            </w:tcBorders>
            <w:shd w:val="clear" w:color="auto" w:fill="auto"/>
            <w:noWrap/>
            <w:vAlign w:val="bottom"/>
            <w:hideMark/>
          </w:tcPr>
          <w:p w14:paraId="7A28607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0A866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D32C4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95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02242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C31E4C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2377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A83F4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98F40C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B429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5A4D62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2B46C939" w14:textId="77777777" w:rsidTr="00BC1CA6">
        <w:trPr>
          <w:trHeight w:val="300"/>
        </w:trPr>
        <w:tc>
          <w:tcPr>
            <w:tcW w:w="2684" w:type="dxa"/>
            <w:tcBorders>
              <w:top w:val="nil"/>
              <w:left w:val="single" w:sz="8" w:space="0" w:color="auto"/>
              <w:bottom w:val="single" w:sz="8" w:space="0" w:color="auto"/>
              <w:right w:val="single" w:sz="4" w:space="0" w:color="auto"/>
            </w:tcBorders>
            <w:shd w:val="clear" w:color="auto" w:fill="auto"/>
            <w:noWrap/>
            <w:vAlign w:val="bottom"/>
            <w:hideMark/>
          </w:tcPr>
          <w:p w14:paraId="5174294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Bias</w:t>
            </w:r>
          </w:p>
        </w:tc>
        <w:tc>
          <w:tcPr>
            <w:tcW w:w="356" w:type="dxa"/>
            <w:tcBorders>
              <w:top w:val="nil"/>
              <w:left w:val="nil"/>
              <w:bottom w:val="single" w:sz="8" w:space="0" w:color="auto"/>
              <w:right w:val="nil"/>
            </w:tcBorders>
            <w:shd w:val="clear" w:color="auto" w:fill="auto"/>
            <w:noWrap/>
            <w:vAlign w:val="bottom"/>
            <w:hideMark/>
          </w:tcPr>
          <w:p w14:paraId="7060448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383126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09F50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ACDC74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361D0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A8D2C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4F48BF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4AAB79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452A1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10D96A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8" w:space="0" w:color="auto"/>
              <w:right w:val="single" w:sz="8" w:space="0" w:color="auto"/>
            </w:tcBorders>
            <w:shd w:val="clear" w:color="auto" w:fill="auto"/>
            <w:noWrap/>
            <w:vAlign w:val="bottom"/>
            <w:hideMark/>
          </w:tcPr>
          <w:p w14:paraId="4159C0D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unotenzeichen"/>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2EB408FF" w14:textId="11224448" w:rsidR="00BE2165" w:rsidRDefault="004C2215" w:rsidP="004C2215">
      <w:pPr>
        <w:pStyle w:val="berschrift2"/>
        <w:rPr>
          <w:rFonts w:ascii="Calibri" w:hAnsi="Calibri" w:cs="Calibri"/>
          <w:lang w:val="en-US"/>
        </w:rPr>
      </w:pPr>
      <w:r>
        <w:rPr>
          <w:rFonts w:ascii="Calibri" w:hAnsi="Calibri" w:cs="Calibri"/>
          <w:lang w:val="en-US"/>
        </w:rPr>
        <w:t>R</w:t>
      </w:r>
      <w:r w:rsidR="00BE2165">
        <w:rPr>
          <w:rFonts w:ascii="Calibri" w:hAnsi="Calibri" w:cs="Calibri"/>
          <w:lang w:val="en-US"/>
        </w:rPr>
        <w:t>ole of uncertainty in marketing</w:t>
      </w:r>
    </w:p>
    <w:p w14:paraId="6A0694A7" w14:textId="7EABAEFE" w:rsidR="004C2215" w:rsidRPr="004C2215" w:rsidRDefault="004C2215" w:rsidP="004C2215">
      <w:pPr>
        <w:rPr>
          <w:lang w:val="en-US"/>
        </w:rPr>
      </w:pPr>
      <w:r>
        <w:rPr>
          <w:lang w:val="en-US"/>
        </w:rPr>
        <w:t>…</w:t>
      </w:r>
    </w:p>
    <w:p w14:paraId="05AAE948" w14:textId="08EBC34E" w:rsidR="005B4B16" w:rsidRPr="00BC149D" w:rsidRDefault="005B4B16" w:rsidP="00846993">
      <w:pPr>
        <w:pStyle w:val="berschrift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berschrift2"/>
        <w:jc w:val="both"/>
        <w:rPr>
          <w:rFonts w:ascii="Calibri" w:hAnsi="Calibri" w:cs="Calibri"/>
          <w:lang w:val="en-US"/>
        </w:rPr>
      </w:pPr>
      <w:bookmarkStart w:id="3" w:name="_Toc164941955"/>
      <w:r w:rsidRPr="00BC149D">
        <w:rPr>
          <w:rFonts w:ascii="Calibri" w:hAnsi="Calibri" w:cs="Calibri"/>
          <w:lang w:val="en-US"/>
        </w:rPr>
        <w:lastRenderedPageBreak/>
        <w:t xml:space="preserve">Derive benchmarking prediction </w:t>
      </w:r>
      <w:proofErr w:type="gramStart"/>
      <w:r w:rsidRPr="00BC149D">
        <w:rPr>
          <w:rFonts w:ascii="Calibri" w:hAnsi="Calibri" w:cs="Calibri"/>
          <w:lang w:val="en-US"/>
        </w:rPr>
        <w:t>intervals</w:t>
      </w:r>
      <w:bookmarkEnd w:id="3"/>
      <w:proofErr w:type="gramEnd"/>
    </w:p>
    <w:p w14:paraId="28A4C44C" w14:textId="2FCBEA94" w:rsidR="005B4B16" w:rsidRPr="00BC149D" w:rsidRDefault="005B4B16" w:rsidP="00846993">
      <w:pPr>
        <w:pStyle w:val="berschrift3"/>
        <w:jc w:val="both"/>
        <w:rPr>
          <w:lang w:val="en-US"/>
        </w:rPr>
      </w:pPr>
      <w:bookmarkStart w:id="4" w:name="_Toc164941956"/>
      <w:r w:rsidRPr="00BC149D">
        <w:rPr>
          <w:lang w:val="en-US"/>
        </w:rPr>
        <w:t>Method 1</w:t>
      </w:r>
      <w:bookmarkEnd w:id="4"/>
    </w:p>
    <w:p w14:paraId="529932EB" w14:textId="32E1ECB4" w:rsidR="005B4B16" w:rsidRPr="00BC149D"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xml:space="preserve">- and gg-model,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0469BD6E" w14:textId="60FD9466" w:rsidR="003367F9" w:rsidRPr="00BC149D" w:rsidRDefault="003367F9" w:rsidP="00846993">
      <w:pPr>
        <w:pStyle w:val="berschrift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46693EE1" w14:textId="6E1519AE" w:rsidR="00D00B32" w:rsidRDefault="00D00B32" w:rsidP="00846993">
      <w:pPr>
        <w:pStyle w:val="berschrift3"/>
        <w:jc w:val="both"/>
        <w:rPr>
          <w:lang w:val="en-US"/>
        </w:rPr>
      </w:pPr>
      <w:bookmarkStart w:id="6" w:name="_Toc164941958"/>
      <w:r>
        <w:rPr>
          <w:lang w:val="en-US"/>
        </w:rPr>
        <w:t>Conformal prediction</w:t>
      </w:r>
      <w:bookmarkEnd w:id="6"/>
      <w:r w:rsidR="00DF7323">
        <w:rPr>
          <w:lang w:val="en-US"/>
        </w:rPr>
        <w:t xml:space="preserve"> (will be reformulated to algorithm form)</w:t>
      </w:r>
    </w:p>
    <w:p w14:paraId="70A8A171" w14:textId="17DD1C8D" w:rsidR="00D00B32" w:rsidRPr="003D0AB8" w:rsidRDefault="003D0AB8" w:rsidP="00846993">
      <w:pPr>
        <w:jc w:val="both"/>
        <w:rPr>
          <w:rFonts w:ascii="Calibri" w:hAnsi="Calibri" w:cs="Calibri"/>
          <w:lang w:val="en-US"/>
        </w:rPr>
      </w:pPr>
      <w:r w:rsidRPr="003D0AB8">
        <w:rPr>
          <w:rFonts w:ascii="Calibri" w:hAnsi="Calibri" w:cs="Calibri"/>
          <w:lang w:val="en-US"/>
        </w:rPr>
        <w:t xml:space="preserve">In this </w:t>
      </w:r>
      <w:r>
        <w:rPr>
          <w:rFonts w:ascii="Calibri" w:hAnsi="Calibri" w:cs="Calibri"/>
          <w:lang w:val="en-US"/>
        </w:rPr>
        <w:t xml:space="preserve">approach, a version of conformal prediction for regression / continuous data will be implemented. The big advantage of CP is that it can be used </w:t>
      </w:r>
      <w:r w:rsidR="007A1634">
        <w:rPr>
          <w:rFonts w:ascii="Calibri" w:hAnsi="Calibri" w:cs="Calibri"/>
          <w:lang w:val="en-US"/>
        </w:rPr>
        <w:t>to derive prediction intervals</w:t>
      </w:r>
      <w:r w:rsidR="007A1634">
        <w:rPr>
          <w:rFonts w:ascii="Calibri" w:hAnsi="Calibri" w:cs="Calibri"/>
          <w:lang w:val="en-US"/>
        </w:rPr>
        <w:t xml:space="preserve"> </w:t>
      </w:r>
      <w:r>
        <w:rPr>
          <w:rFonts w:ascii="Calibri" w:hAnsi="Calibri" w:cs="Calibri"/>
          <w:lang w:val="en-US"/>
        </w:rPr>
        <w:t>model-independent</w:t>
      </w:r>
      <w:r w:rsidR="007A1634">
        <w:rPr>
          <w:rFonts w:ascii="Calibri" w:hAnsi="Calibri" w:cs="Calibri"/>
          <w:lang w:val="en-US"/>
        </w:rPr>
        <w:t>ly</w:t>
      </w:r>
      <w:r>
        <w:rPr>
          <w:rFonts w:ascii="Calibri" w:hAnsi="Calibri" w:cs="Calibri"/>
          <w:lang w:val="en-US"/>
        </w:rPr>
        <w:t xml:space="preserve"> and without having a closed form for e.g. the variance</w:t>
      </w:r>
      <w:r w:rsidR="007A1634">
        <w:rPr>
          <w:rFonts w:ascii="Calibri" w:hAnsi="Calibri" w:cs="Calibri"/>
          <w:lang w:val="en-US"/>
        </w:rPr>
        <w:t xml:space="preserve"> as it is the case for the CLV context</w:t>
      </w:r>
      <w:r>
        <w:rPr>
          <w:rFonts w:ascii="Calibri" w:hAnsi="Calibri" w:cs="Calibri"/>
          <w:lang w:val="en-US"/>
        </w:rPr>
        <w:t>. The implementation in this work shall be introduced in the following.</w:t>
      </w:r>
      <w:r w:rsidR="007A1634">
        <w:rPr>
          <w:rFonts w:ascii="Calibri" w:hAnsi="Calibri" w:cs="Calibri"/>
          <w:lang w:val="en-US"/>
        </w:rPr>
        <w:t xml:space="preserve"> The historic data of purchases is separated into 3 parts, a training, calibration</w:t>
      </w:r>
      <w:r w:rsidR="00CC7D7F">
        <w:rPr>
          <w:rFonts w:ascii="Calibri" w:hAnsi="Calibri" w:cs="Calibri"/>
          <w:lang w:val="en-US"/>
        </w:rPr>
        <w:t>,</w:t>
      </w:r>
      <w:r w:rsidR="007A1634">
        <w:rPr>
          <w:rFonts w:ascii="Calibri" w:hAnsi="Calibri" w:cs="Calibri"/>
          <w:lang w:val="en-US"/>
        </w:rPr>
        <w:t xml:space="preserve"> and testing part where each customer (and all their purchases) cannot be split over several parts. </w:t>
      </w:r>
      <w:r w:rsidR="00CC7D7F">
        <w:rPr>
          <w:rFonts w:ascii="Calibri" w:hAnsi="Calibri" w:cs="Calibri"/>
          <w:lang w:val="en-US"/>
        </w:rPr>
        <w:t xml:space="preserve">After splitting,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are trained for all 3 parts, so that 6 models are resulting. This step is necessary to get access to all parameters of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The parameters of the training model are now taken to replace the estimated parameters of the calibration and testing part models so that all models of a kind (</w:t>
      </w:r>
      <w:proofErr w:type="spellStart"/>
      <w:r w:rsidR="00CC7D7F">
        <w:rPr>
          <w:rFonts w:ascii="Calibri" w:hAnsi="Calibri" w:cs="Calibri"/>
          <w:lang w:val="en-US"/>
        </w:rPr>
        <w:t>pnbd</w:t>
      </w:r>
      <w:proofErr w:type="spellEnd"/>
      <w:r w:rsidR="00CC7D7F">
        <w:rPr>
          <w:rFonts w:ascii="Calibri" w:hAnsi="Calibri" w:cs="Calibri"/>
          <w:lang w:val="en-US"/>
        </w:rPr>
        <w:t xml:space="preserve"> or gg) have the same parameters but different data. With this setting, it is possible to make predictions for the calibration and test partition while doing so for the training partition is not required any further.</w:t>
      </w:r>
      <w:r w:rsidR="00164A89">
        <w:rPr>
          <w:rFonts w:ascii="Calibri" w:hAnsi="Calibri" w:cs="Calibri"/>
          <w:lang w:val="en-US"/>
        </w:rPr>
        <w:t xml:space="preserve"> The difference of predictions and true values of the calibration part are taken to derive an absolute error distribution. From this distribution</w:t>
      </w:r>
      <w:r w:rsidR="00F96A25">
        <w:rPr>
          <w:rFonts w:ascii="Calibri" w:hAnsi="Calibri" w:cs="Calibri"/>
          <w:lang w:val="en-US"/>
        </w:rPr>
        <w:t>,</w:t>
      </w:r>
      <w:r w:rsidR="00164A89">
        <w:rPr>
          <w:rFonts w:ascii="Calibri" w:hAnsi="Calibri" w:cs="Calibri"/>
          <w:lang w:val="en-US"/>
        </w:rPr>
        <w:t xml:space="preserve"> one can take the desired confidence interval</w:t>
      </w:r>
      <w:r w:rsidR="00F96A25">
        <w:rPr>
          <w:rFonts w:ascii="Calibri" w:hAnsi="Calibri" w:cs="Calibri"/>
          <w:lang w:val="en-US"/>
        </w:rPr>
        <w:t>.</w:t>
      </w:r>
      <w:r w:rsidR="00B00896">
        <w:rPr>
          <w:rFonts w:ascii="Calibri" w:hAnsi="Calibri" w:cs="Calibri"/>
          <w:lang w:val="en-US"/>
        </w:rPr>
        <w:t xml:space="preserve"> Note that by now, the error is taken as difference between true value and prediction and scaled by the prediction. This is necessary to avoid issues that come with heterogeneity of CLVs which range from $1 to $500 and would make an unscaled measure meaningless</w:t>
      </w:r>
      <w:r w:rsidR="001F6849">
        <w:rPr>
          <w:rStyle w:val="Funotenzeichen"/>
          <w:rFonts w:ascii="Calibri" w:hAnsi="Calibri" w:cs="Calibri"/>
          <w:lang w:val="en-US"/>
        </w:rPr>
        <w:footnoteReference w:id="3"/>
      </w:r>
      <w:r w:rsidR="00B00896">
        <w:rPr>
          <w:rFonts w:ascii="Calibri" w:hAnsi="Calibri" w:cs="Calibri"/>
          <w:lang w:val="en-US"/>
        </w:rPr>
        <w:t>.</w:t>
      </w:r>
      <w:r w:rsidR="00B00324">
        <w:rPr>
          <w:rFonts w:ascii="Calibri" w:hAnsi="Calibri" w:cs="Calibri"/>
          <w:lang w:val="en-US"/>
        </w:rPr>
        <w:t xml:space="preserve"> As a final step, the quantile that was previously derived is subtracted/added from/to the predictions of the test partition to get the lower/upper quantiles, now in absolute values. This results in symmetric PIs. From there, one can derive the true coverage on the test data. The described algorithm is applied several times, each time sampling new training, calibration and test sets and finally averaging over lower and upper bounds of the PIs. An issue that must be noted is that the performance of the PIs on the test set is reasonable, in most cases slightly above the desired percentage while applying it to the “normal” predictions outside of CP results in far too high coverage rates. Probably that is due to the way the data were simulated in relation to those </w:t>
      </w:r>
      <w:r w:rsidR="00B00324">
        <w:rPr>
          <w:rFonts w:ascii="Calibri" w:hAnsi="Calibri" w:cs="Calibri"/>
          <w:lang w:val="en-US"/>
        </w:rPr>
        <w:lastRenderedPageBreak/>
        <w:t xml:space="preserve">predictions and/or the model performance </w:t>
      </w:r>
      <w:r w:rsidR="00BE4922">
        <w:rPr>
          <w:rFonts w:ascii="Calibri" w:hAnsi="Calibri" w:cs="Calibri"/>
          <w:lang w:val="en-US"/>
        </w:rPr>
        <w:t>loses precision when the training set is too small, resulting in higher errors, resulting in larger prediction intervals which deliver a too good coverage rate</w:t>
      </w:r>
      <w:r w:rsidR="00C81245">
        <w:rPr>
          <w:rFonts w:ascii="Calibri" w:hAnsi="Calibri" w:cs="Calibri"/>
          <w:lang w:val="en-US"/>
        </w:rPr>
        <w:t>.</w:t>
      </w:r>
    </w:p>
    <w:p w14:paraId="370A4829" w14:textId="1A7FEEC4" w:rsidR="00585275" w:rsidRPr="00BC149D" w:rsidRDefault="00585275" w:rsidP="00846993">
      <w:pPr>
        <w:pStyle w:val="berschrift2"/>
        <w:jc w:val="both"/>
        <w:rPr>
          <w:rFonts w:ascii="Calibri" w:hAnsi="Calibri" w:cs="Calibri"/>
          <w:lang w:val="en-US"/>
        </w:rPr>
      </w:pPr>
      <w:bookmarkStart w:id="7" w:name="_Toc164941959"/>
      <w:r w:rsidRPr="00BC149D">
        <w:rPr>
          <w:rFonts w:ascii="Calibri" w:hAnsi="Calibri" w:cs="Calibri"/>
          <w:lang w:val="en-US"/>
        </w:rPr>
        <w:t xml:space="preserve">Measures to assess reliability and </w:t>
      </w:r>
      <w:proofErr w:type="gramStart"/>
      <w:r w:rsidRPr="00BC149D">
        <w:rPr>
          <w:rFonts w:ascii="Calibri" w:hAnsi="Calibri" w:cs="Calibri"/>
          <w:lang w:val="en-US"/>
        </w:rPr>
        <w:t>sharpness</w:t>
      </w:r>
      <w:bookmarkEnd w:id="7"/>
      <w:proofErr w:type="gramEnd"/>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berschrift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berschrift3"/>
        <w:jc w:val="both"/>
        <w:rPr>
          <w:lang w:val="en-US"/>
        </w:rPr>
      </w:pPr>
      <w:bookmarkStart w:id="9" w:name="_Toc164941961"/>
      <w:r w:rsidRPr="00BC149D">
        <w:rPr>
          <w:lang w:val="en-US"/>
        </w:rPr>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 xml:space="preserve">This measure indicates how much on average the intended nominal prediction coverage, PINC, e.g. 90% and the true coverage, PICP </w:t>
      </w:r>
      <w:proofErr w:type="gramStart"/>
      <w:r w:rsidRPr="00BC149D">
        <w:rPr>
          <w:rFonts w:ascii="Calibri" w:hAnsi="Calibri" w:cs="Calibri"/>
          <w:lang w:val="en-US"/>
        </w:rPr>
        <w:t>differ</w:t>
      </w:r>
      <w:proofErr w:type="gramEnd"/>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berschrift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w:t>
      </w:r>
      <w:proofErr w:type="gramStart"/>
      <w:r w:rsidR="001771E4" w:rsidRPr="00BC149D">
        <w:rPr>
          <w:rFonts w:ascii="Calibri" w:hAnsi="Calibri" w:cs="Calibri"/>
          <w:lang w:val="en-US"/>
        </w:rPr>
        <w:t>value</w:t>
      </w:r>
      <w:proofErr w:type="gramEnd"/>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berschrift3"/>
        <w:jc w:val="both"/>
        <w:rPr>
          <w:rFonts w:ascii="Calibri" w:hAnsi="Calibri" w:cs="Calibri"/>
          <w:lang w:val="en-US"/>
        </w:rPr>
      </w:pPr>
      <w:bookmarkStart w:id="11" w:name="_Toc164941963"/>
      <w:r w:rsidRPr="002A08E9">
        <w:rPr>
          <w:lang w:val="en-US"/>
        </w:rPr>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 xml:space="preserve">This measure indicates the percentage of times the lower prediction limit was not exceeded by the true </w:t>
      </w:r>
      <w:proofErr w:type="gramStart"/>
      <w:r w:rsidRPr="00BC149D">
        <w:rPr>
          <w:rFonts w:ascii="Calibri" w:hAnsi="Calibri" w:cs="Calibri"/>
          <w:lang w:val="en-US"/>
        </w:rPr>
        <w:t>value</w:t>
      </w:r>
      <w:proofErr w:type="gramEnd"/>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berschrift3"/>
        <w:jc w:val="both"/>
        <w:rPr>
          <w:rFonts w:ascii="Calibri" w:eastAsiaTheme="minorEastAsia" w:hAnsi="Calibri" w:cs="Calibri"/>
          <w:lang w:val="en-US"/>
        </w:rPr>
      </w:pPr>
      <w:bookmarkStart w:id="12" w:name="_Toc164941964"/>
      <w:r w:rsidRPr="002A08E9">
        <w:rPr>
          <w:lang w:val="en-US"/>
        </w:rPr>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w:lastRenderedPageBreak/>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berschrift3"/>
        <w:jc w:val="both"/>
        <w:rPr>
          <w:rFonts w:ascii="Calibri" w:hAnsi="Calibri" w:cs="Calibri"/>
          <w:lang w:val="en-US"/>
        </w:rPr>
      </w:pPr>
      <w:bookmarkStart w:id="13" w:name="_Toc164941965"/>
      <w:r w:rsidRPr="002A08E9">
        <w:rPr>
          <w:lang w:val="en-US"/>
        </w:rPr>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berschrift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berschrift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berschrift3"/>
        <w:jc w:val="both"/>
        <w:rPr>
          <w:rFonts w:ascii="Calibri" w:hAnsi="Calibri" w:cs="Calibri"/>
          <w:lang w:val="en-US"/>
        </w:rPr>
      </w:pPr>
      <w:bookmarkStart w:id="16" w:name="_Toc164941968"/>
      <w:r w:rsidRPr="002A08E9">
        <w:rPr>
          <w:lang w:val="en-US"/>
        </w:rPr>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berschrift1"/>
        <w:jc w:val="both"/>
        <w:rPr>
          <w:rFonts w:ascii="Calibri" w:hAnsi="Calibri" w:cs="Calibri"/>
          <w:lang w:val="en-US"/>
        </w:rPr>
      </w:pPr>
      <w:bookmarkStart w:id="17" w:name="_Toc164941969"/>
      <w:r w:rsidRPr="00BC149D">
        <w:rPr>
          <w:rFonts w:ascii="Calibri" w:hAnsi="Calibri" w:cs="Calibri"/>
          <w:lang w:val="en-US"/>
        </w:rPr>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033DFD65" w:rsidR="00AB6E2C" w:rsidRPr="00BC149D" w:rsidRDefault="00E068EB" w:rsidP="00846993">
      <w:pPr>
        <w:jc w:val="both"/>
        <w:rPr>
          <w:rFonts w:ascii="Calibri" w:hAnsi="Calibri" w:cs="Calibri"/>
          <w:lang w:val="en-US"/>
        </w:rPr>
      </w:pPr>
      <w:r w:rsidRPr="00BC149D">
        <w:rPr>
          <w:rFonts w:ascii="Calibri" w:hAnsi="Calibri" w:cs="Calibri"/>
          <w:lang w:val="en-US"/>
        </w:rPr>
        <w:lastRenderedPageBreak/>
        <w:t>See in the following the resulting table</w:t>
      </w:r>
      <w:r w:rsidR="00DE743C">
        <w:rPr>
          <w:rStyle w:val="Funotenzeichen"/>
          <w:rFonts w:ascii="Calibri" w:hAnsi="Calibri" w:cs="Calibri"/>
          <w:lang w:val="en-US"/>
        </w:rPr>
        <w:footnoteReference w:id="4"/>
      </w:r>
      <w:r w:rsidRPr="00BC149D">
        <w:rPr>
          <w:rFonts w:ascii="Calibri" w:hAnsi="Calibri" w:cs="Calibri"/>
          <w:lang w:val="en-US"/>
        </w:rPr>
        <w:t>.</w:t>
      </w:r>
    </w:p>
    <w:p w14:paraId="023D319B" w14:textId="454E89FF" w:rsidR="00AB6E2C" w:rsidRPr="00BC149D" w:rsidRDefault="00DE743C" w:rsidP="00846993">
      <w:pPr>
        <w:jc w:val="both"/>
        <w:rPr>
          <w:rFonts w:ascii="Calibri" w:hAnsi="Calibri" w:cs="Calibri"/>
          <w:lang w:val="en-US"/>
        </w:rPr>
      </w:pPr>
      <w:r w:rsidRPr="00DE743C">
        <w:rPr>
          <w:rFonts w:ascii="Calibri" w:hAnsi="Calibri" w:cs="Calibri"/>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Default="00002400" w:rsidP="00846993">
      <w:pPr>
        <w:jc w:val="both"/>
        <w:rPr>
          <w:rFonts w:ascii="Calibri" w:hAnsi="Calibri" w:cs="Calibri"/>
          <w:lang w:val="en-US"/>
        </w:rPr>
      </w:pPr>
      <w:r>
        <w:rPr>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Pr>
          <w:rFonts w:ascii="Calibri" w:hAnsi="Calibri" w:cs="Calibri"/>
          <w:lang w:val="en-US"/>
        </w:rPr>
        <w:t xml:space="preserve">Also, see </w:t>
      </w:r>
      <w:r>
        <w:rPr>
          <w:rFonts w:ascii="Calibri" w:hAnsi="Calibri" w:cs="Calibri"/>
          <w:lang w:val="en-US"/>
        </w:rPr>
        <w:t>a visualization of the PIs for all methods in a sample for customers with an estimated CLV between 29 and 32.</w:t>
      </w:r>
    </w:p>
    <w:p w14:paraId="587DA63B" w14:textId="416C36DD" w:rsidR="00002400" w:rsidRDefault="00002400" w:rsidP="00846993">
      <w:pPr>
        <w:jc w:val="both"/>
        <w:rPr>
          <w:rFonts w:ascii="Calibri" w:hAnsi="Calibri" w:cs="Calibri"/>
          <w:lang w:val="en-US"/>
        </w:rPr>
      </w:pPr>
    </w:p>
    <w:p w14:paraId="015B8214" w14:textId="1B6535B2"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7C80F948" w:rsidR="00846993" w:rsidRPr="00846993" w:rsidRDefault="00846993" w:rsidP="00846993">
      <w:pPr>
        <w:jc w:val="both"/>
        <w:rPr>
          <w:rFonts w:ascii="Calibri" w:hAnsi="Calibri" w:cs="Calibri"/>
          <w:lang w:val="en-US"/>
        </w:rPr>
      </w:pP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w:t>
      </w:r>
      <w:r>
        <w:rPr>
          <w:rFonts w:ascii="Calibri" w:hAnsi="Calibri" w:cs="Calibri"/>
          <w:lang w:val="en-US"/>
        </w:rPr>
        <w:lastRenderedPageBreak/>
        <w:t xml:space="preserve">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berschrift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berschrift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berschrift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berschrift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402F6" w14:textId="77777777" w:rsidR="00BA3552" w:rsidRDefault="00BA3552" w:rsidP="00BE2CB5">
      <w:pPr>
        <w:spacing w:after="0" w:line="240" w:lineRule="auto"/>
      </w:pPr>
      <w:r>
        <w:separator/>
      </w:r>
    </w:p>
  </w:endnote>
  <w:endnote w:type="continuationSeparator" w:id="0">
    <w:p w14:paraId="47A296E9" w14:textId="77777777" w:rsidR="00BA3552" w:rsidRDefault="00BA3552"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58B70" w14:textId="77777777" w:rsidR="00BA3552" w:rsidRDefault="00BA3552" w:rsidP="00BE2CB5">
      <w:pPr>
        <w:spacing w:after="0" w:line="240" w:lineRule="auto"/>
      </w:pPr>
      <w:r>
        <w:separator/>
      </w:r>
    </w:p>
  </w:footnote>
  <w:footnote w:type="continuationSeparator" w:id="0">
    <w:p w14:paraId="63BA5A95" w14:textId="77777777" w:rsidR="00BA3552" w:rsidRDefault="00BA3552"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unotentext"/>
        <w:rPr>
          <w:rFonts w:ascii="Calibri" w:hAnsi="Calibri" w:cs="Calibri"/>
          <w:lang w:val="en-US"/>
        </w:rPr>
      </w:pPr>
      <w:r w:rsidRPr="002A08E9">
        <w:rPr>
          <w:rStyle w:val="Funotenzeichen"/>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7387EF31" w14:textId="3F97E00F" w:rsidR="001F6849" w:rsidRPr="001F6849" w:rsidRDefault="001F6849">
      <w:pPr>
        <w:pStyle w:val="Funotentext"/>
        <w:rPr>
          <w:lang w:val="en-US"/>
        </w:rPr>
      </w:pPr>
      <w:r>
        <w:rPr>
          <w:rStyle w:val="Funotenzeichen"/>
        </w:rPr>
        <w:footnoteRef/>
      </w:r>
      <w:r w:rsidRPr="001F6849">
        <w:rPr>
          <w:lang w:val="en-US"/>
        </w:rPr>
        <w:t xml:space="preserve"> </w:t>
      </w:r>
      <w:r>
        <w:rPr>
          <w:lang w:val="en-US"/>
        </w:rPr>
        <w:t>Also, this approach comes with issues regarding scale as lower CLVs tend to vary in more proportionally to their absolute magnitude. This issue must be addressed but stating how much more they vary is not trivial.</w:t>
      </w:r>
    </w:p>
  </w:footnote>
  <w:footnote w:id="4">
    <w:p w14:paraId="7C2EAF94" w14:textId="637A5AEE" w:rsidR="00DE743C" w:rsidRPr="00DE743C" w:rsidRDefault="00DE743C">
      <w:pPr>
        <w:pStyle w:val="Funotentext"/>
        <w:rPr>
          <w:lang w:val="en-US"/>
        </w:rPr>
      </w:pPr>
      <w:r>
        <w:rPr>
          <w:rStyle w:val="Funotenzeichen"/>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f customers – PI method”. For cluster of customers: E.g. “</w:t>
      </w:r>
      <w:r>
        <w:rPr>
          <w:lang w:val="en-US"/>
        </w:rPr>
        <w:t>s33</w:t>
      </w:r>
      <w:r>
        <w:rPr>
          <w:lang w:val="en-US"/>
        </w:rPr>
        <w:t>”</w:t>
      </w:r>
      <w:r>
        <w:rPr>
          <w:lang w:val="en-US"/>
        </w:rPr>
        <w:t xml:space="preserve"> means customers with</w:t>
      </w:r>
      <w:r>
        <w:rPr>
          <w:lang w:val="en-US"/>
        </w:rPr>
        <w:t xml:space="preserve"> 33%</w:t>
      </w:r>
      <w:r>
        <w:rPr>
          <w:lang w:val="en-US"/>
        </w:rPr>
        <w:t xml:space="preserve"> lowest CLV </w:t>
      </w:r>
      <w:proofErr w:type="gramStart"/>
      <w:r>
        <w:rPr>
          <w:lang w:val="en-US"/>
        </w:rPr>
        <w:t>estimated</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46D33"/>
    <w:rsid w:val="000A31F3"/>
    <w:rsid w:val="00116E5C"/>
    <w:rsid w:val="0015436A"/>
    <w:rsid w:val="001623E8"/>
    <w:rsid w:val="00164A89"/>
    <w:rsid w:val="001771E4"/>
    <w:rsid w:val="001A6A05"/>
    <w:rsid w:val="001D49AD"/>
    <w:rsid w:val="001E2B86"/>
    <w:rsid w:val="001E5A4A"/>
    <w:rsid w:val="001F0823"/>
    <w:rsid w:val="001F6849"/>
    <w:rsid w:val="002022A5"/>
    <w:rsid w:val="0021482A"/>
    <w:rsid w:val="00217DAD"/>
    <w:rsid w:val="002244B5"/>
    <w:rsid w:val="00226288"/>
    <w:rsid w:val="00244D0C"/>
    <w:rsid w:val="00264A11"/>
    <w:rsid w:val="00273F3C"/>
    <w:rsid w:val="002819D6"/>
    <w:rsid w:val="00291524"/>
    <w:rsid w:val="002A08E9"/>
    <w:rsid w:val="002C52E8"/>
    <w:rsid w:val="002D1EAB"/>
    <w:rsid w:val="002D5C2C"/>
    <w:rsid w:val="00302216"/>
    <w:rsid w:val="003367F9"/>
    <w:rsid w:val="0035290B"/>
    <w:rsid w:val="00374C07"/>
    <w:rsid w:val="00396F21"/>
    <w:rsid w:val="003D0AB8"/>
    <w:rsid w:val="003E6C27"/>
    <w:rsid w:val="004244C8"/>
    <w:rsid w:val="004520F9"/>
    <w:rsid w:val="004634BF"/>
    <w:rsid w:val="00485C36"/>
    <w:rsid w:val="004B0B03"/>
    <w:rsid w:val="004B6C8E"/>
    <w:rsid w:val="004C1FEA"/>
    <w:rsid w:val="004C2215"/>
    <w:rsid w:val="004D2553"/>
    <w:rsid w:val="00505E40"/>
    <w:rsid w:val="005156A4"/>
    <w:rsid w:val="005604E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7A1634"/>
    <w:rsid w:val="0080715E"/>
    <w:rsid w:val="00810ACE"/>
    <w:rsid w:val="008407EC"/>
    <w:rsid w:val="00846993"/>
    <w:rsid w:val="00877EE1"/>
    <w:rsid w:val="008A0BE7"/>
    <w:rsid w:val="008A2696"/>
    <w:rsid w:val="008D3C6D"/>
    <w:rsid w:val="008F1C54"/>
    <w:rsid w:val="008F3578"/>
    <w:rsid w:val="008F5CBF"/>
    <w:rsid w:val="00921B96"/>
    <w:rsid w:val="0092549D"/>
    <w:rsid w:val="00934C19"/>
    <w:rsid w:val="0098444A"/>
    <w:rsid w:val="0099332E"/>
    <w:rsid w:val="009934C3"/>
    <w:rsid w:val="009B51E8"/>
    <w:rsid w:val="009C5AC9"/>
    <w:rsid w:val="009E00FD"/>
    <w:rsid w:val="009F2792"/>
    <w:rsid w:val="009F69A8"/>
    <w:rsid w:val="00A00BA4"/>
    <w:rsid w:val="00A1027A"/>
    <w:rsid w:val="00A34EA9"/>
    <w:rsid w:val="00A355BD"/>
    <w:rsid w:val="00A83DD4"/>
    <w:rsid w:val="00A90539"/>
    <w:rsid w:val="00AB2CEB"/>
    <w:rsid w:val="00AB6E2C"/>
    <w:rsid w:val="00AD3B5B"/>
    <w:rsid w:val="00B00324"/>
    <w:rsid w:val="00B00896"/>
    <w:rsid w:val="00B03AFE"/>
    <w:rsid w:val="00B1145D"/>
    <w:rsid w:val="00B41AF4"/>
    <w:rsid w:val="00B7048F"/>
    <w:rsid w:val="00BA3552"/>
    <w:rsid w:val="00BB6C4B"/>
    <w:rsid w:val="00BC149D"/>
    <w:rsid w:val="00BC1CA6"/>
    <w:rsid w:val="00BE2165"/>
    <w:rsid w:val="00BE2CB5"/>
    <w:rsid w:val="00BE4922"/>
    <w:rsid w:val="00C04C3A"/>
    <w:rsid w:val="00C127A5"/>
    <w:rsid w:val="00C2225C"/>
    <w:rsid w:val="00C620EA"/>
    <w:rsid w:val="00C81245"/>
    <w:rsid w:val="00CB0676"/>
    <w:rsid w:val="00CB6151"/>
    <w:rsid w:val="00CC7D7F"/>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6772B"/>
    <w:rsid w:val="00ED237D"/>
    <w:rsid w:val="00EE54D3"/>
    <w:rsid w:val="00F82057"/>
    <w:rsid w:val="00F83E56"/>
    <w:rsid w:val="00F96A25"/>
    <w:rsid w:val="00FB3DCF"/>
    <w:rsid w:val="00FB4A22"/>
    <w:rsid w:val="00FD62C4"/>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 w:type="paragraph" w:styleId="Inhaltsverzeichnisberschrift">
    <w:name w:val="TOC Heading"/>
    <w:basedOn w:val="berschrift1"/>
    <w:next w:val="Standard"/>
    <w:uiPriority w:val="39"/>
    <w:unhideWhenUsed/>
    <w:qFormat/>
    <w:rsid w:val="000A31F3"/>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A31F3"/>
    <w:pPr>
      <w:spacing w:after="100"/>
    </w:pPr>
  </w:style>
  <w:style w:type="paragraph" w:styleId="Verzeichnis2">
    <w:name w:val="toc 2"/>
    <w:basedOn w:val="Standard"/>
    <w:next w:val="Standard"/>
    <w:autoRedefine/>
    <w:uiPriority w:val="39"/>
    <w:unhideWhenUsed/>
    <w:rsid w:val="000A31F3"/>
    <w:pPr>
      <w:spacing w:after="100"/>
      <w:ind w:left="220"/>
    </w:pPr>
  </w:style>
  <w:style w:type="paragraph" w:styleId="Verzeichnis3">
    <w:name w:val="toc 3"/>
    <w:basedOn w:val="Standard"/>
    <w:next w:val="Standard"/>
    <w:autoRedefine/>
    <w:uiPriority w:val="39"/>
    <w:unhideWhenUsed/>
    <w:rsid w:val="000A31F3"/>
    <w:pPr>
      <w:spacing w:after="100"/>
      <w:ind w:left="440"/>
    </w:pPr>
  </w:style>
  <w:style w:type="character" w:styleId="Hyperlink">
    <w:name w:val="Hyperlink"/>
    <w:basedOn w:val="Absatz-Standardschriftart"/>
    <w:uiPriority w:val="99"/>
    <w:unhideWhenUsed/>
    <w:rsid w:val="000A31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2915</Words>
  <Characters>18365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110</cp:revision>
  <dcterms:created xsi:type="dcterms:W3CDTF">2024-04-20T12:49:00Z</dcterms:created>
  <dcterms:modified xsi:type="dcterms:W3CDTF">2024-04-28T14:11:00Z</dcterms:modified>
</cp:coreProperties>
</file>