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3BE23" w14:textId="1FF0C1F2" w:rsidR="00BC149D" w:rsidRPr="00BC149D" w:rsidRDefault="00BC149D" w:rsidP="00BC149D">
      <w:pPr>
        <w:pStyle w:val="berschrift1"/>
        <w:rPr>
          <w:rFonts w:ascii="Calibri" w:hAnsi="Calibri" w:cs="Calibri"/>
          <w:lang w:val="en-US"/>
        </w:rPr>
      </w:pPr>
      <w:r w:rsidRPr="00BC149D">
        <w:rPr>
          <w:rFonts w:ascii="Calibri" w:hAnsi="Calibri" w:cs="Calibri"/>
          <w:lang w:val="en-US"/>
        </w:rPr>
        <w:t>Literature review</w:t>
      </w:r>
    </w:p>
    <w:p w14:paraId="3187B775" w14:textId="10E28061" w:rsidR="00E06B41" w:rsidRPr="00BC149D" w:rsidRDefault="0098444A" w:rsidP="004634BF">
      <w:pPr>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proofErr w:type="spellStart"/>
      <w:r w:rsidR="008F3578" w:rsidRPr="00BC149D">
        <w:rPr>
          <w:rFonts w:ascii="Calibri" w:hAnsi="Calibri" w:cs="Calibri"/>
          <w:lang w:val="en-US"/>
        </w:rPr>
        <w:t>pnbd</w:t>
      </w:r>
      <w:proofErr w:type="spellEnd"/>
      <w:r w:rsidR="008F3578" w:rsidRPr="00BC149D">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9F69A8">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9F69A8">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 xml:space="preserve">Customer </w:t>
            </w:r>
            <w:proofErr w:type="spellStart"/>
            <w:r w:rsidRPr="00BC149D">
              <w:rPr>
                <w:rFonts w:ascii="Calibri" w:eastAsia="Times New Roman" w:hAnsi="Calibri" w:cs="Calibri"/>
                <w:color w:val="000000"/>
                <w:kern w:val="0"/>
                <w:u w:val="single"/>
                <w:lang w:eastAsia="de-DE"/>
                <w14:ligatures w14:val="none"/>
              </w:rPr>
              <w:t>behavior</w:t>
            </w:r>
            <w:proofErr w:type="spellEnd"/>
            <w:r w:rsidR="00A00BA4" w:rsidRPr="00BC149D">
              <w:rPr>
                <w:rFonts w:ascii="Calibri" w:eastAsia="Times New Roman" w:hAnsi="Calibri" w:cs="Calibri"/>
                <w:color w:val="000000"/>
                <w:kern w:val="0"/>
                <w:u w:val="single"/>
                <w:lang w:eastAsia="de-DE"/>
                <w14:ligatures w14:val="none"/>
              </w:rPr>
              <w:t xml:space="preserve"> / </w:t>
            </w:r>
            <w:proofErr w:type="spellStart"/>
            <w:r w:rsidR="00A00BA4" w:rsidRPr="00BC149D">
              <w:rPr>
                <w:rFonts w:ascii="Calibri" w:eastAsia="Times New Roman" w:hAnsi="Calibri" w:cs="Calibri"/>
                <w:color w:val="000000"/>
                <w:kern w:val="0"/>
                <w:u w:val="single"/>
                <w:lang w:eastAsia="de-DE"/>
                <w14:ligatures w14:val="none"/>
              </w:rPr>
              <w:t>model</w:t>
            </w:r>
            <w:proofErr w:type="spellEnd"/>
            <w:r w:rsidR="00A00BA4" w:rsidRPr="00BC149D">
              <w:rPr>
                <w:rFonts w:ascii="Calibri" w:eastAsia="Times New Roman" w:hAnsi="Calibri" w:cs="Calibri"/>
                <w:color w:val="000000"/>
                <w:kern w:val="0"/>
                <w:u w:val="single"/>
                <w:lang w:eastAsia="de-DE"/>
                <w14:ligatures w14:val="none"/>
              </w:rPr>
              <w:t xml:space="preserve">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Campaigns</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competitors</w:t>
            </w:r>
            <w:proofErr w:type="spellEnd"/>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Marketing </w:t>
            </w:r>
            <w:proofErr w:type="spellStart"/>
            <w:r w:rsidRPr="00BC149D">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State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the</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9F69A8">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9F69A8">
            <w:pPr>
              <w:spacing w:after="0" w:line="240" w:lineRule="auto"/>
              <w:jc w:val="center"/>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unotenzeichen"/>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2D478BEC"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2CCFBAD9"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9F69A8">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Parameter </w:t>
            </w:r>
            <w:proofErr w:type="spellStart"/>
            <w:r w:rsidRPr="00BC149D">
              <w:rPr>
                <w:rFonts w:ascii="Calibri" w:eastAsia="Times New Roman" w:hAnsi="Calibri" w:cs="Calibri"/>
                <w:color w:val="000000"/>
                <w:kern w:val="0"/>
                <w:lang w:eastAsia="de-DE"/>
                <w14:ligatures w14:val="none"/>
              </w:rPr>
              <w:t>estimation</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9F69A8">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9F69A8">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Data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9F69A8">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Epistemic</w:t>
            </w:r>
            <w:proofErr w:type="spellEnd"/>
            <w:r w:rsidRPr="00BC149D">
              <w:rPr>
                <w:rFonts w:ascii="Calibri" w:eastAsia="Times New Roman" w:hAnsi="Calibri" w:cs="Calibri"/>
                <w:color w:val="000000"/>
                <w:kern w:val="0"/>
                <w:lang w:eastAsia="de-DE"/>
                <w14:ligatures w14:val="none"/>
              </w:rPr>
              <w:t xml:space="preserve"> and </w:t>
            </w:r>
            <w:proofErr w:type="spellStart"/>
            <w:r w:rsidRPr="00BC149D">
              <w:rPr>
                <w:rFonts w:ascii="Calibri" w:eastAsia="Times New Roman" w:hAnsi="Calibri" w:cs="Calibri"/>
                <w:color w:val="000000"/>
                <w:kern w:val="0"/>
                <w:lang w:eastAsia="de-DE"/>
                <w14:ligatures w14:val="none"/>
              </w:rPr>
              <w:t>aleatory</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9F69A8">
            <w:pPr>
              <w:spacing w:after="0" w:line="240" w:lineRule="auto"/>
              <w:jc w:val="center"/>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A90539">
      <w:pPr>
        <w:rPr>
          <w:rFonts w:ascii="Calibri" w:hAnsi="Calibri" w:cs="Calibri"/>
          <w:lang w:val="en-US"/>
        </w:rPr>
      </w:pPr>
    </w:p>
    <w:p w14:paraId="70EA270F" w14:textId="3EBFA139" w:rsidR="00D356FB" w:rsidRPr="00BC149D" w:rsidRDefault="009F69A8">
      <w:pPr>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w:t>
      </w:r>
      <w:r w:rsidR="00A00BA4" w:rsidRPr="00BC149D">
        <w:rPr>
          <w:rFonts w:ascii="Calibri" w:hAnsi="Calibri" w:cs="Calibri"/>
          <w:lang w:val="en-US"/>
        </w:rPr>
        <w:lastRenderedPageBreak/>
        <w:t xml:space="preserve">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pPr>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 xml:space="preserve">are comparable with </w:t>
      </w:r>
      <w:proofErr w:type="gramStart"/>
      <w:r w:rsidR="0099332E" w:rsidRPr="00BC149D">
        <w:rPr>
          <w:rFonts w:ascii="Calibri" w:hAnsi="Calibri" w:cs="Calibri"/>
          <w:lang w:val="en-US"/>
        </w:rPr>
        <w:t>PIs</w:t>
      </w:r>
      <w:proofErr w:type="gramEnd"/>
      <w:r w:rsidR="0099332E" w:rsidRPr="00BC149D">
        <w:rPr>
          <w:rFonts w:ascii="Calibri" w:hAnsi="Calibri" w:cs="Calibri"/>
          <w:lang w:val="en-US"/>
        </w:rPr>
        <w:t xml:space="preserve"> but they assign probabilities to each area in the interval and provide so more information about uncertainty. (6PI)</w:t>
      </w:r>
    </w:p>
    <w:p w14:paraId="364E11A3" w14:textId="52B6BD32" w:rsidR="00CB0676" w:rsidRPr="00BC149D" w:rsidRDefault="002819D6">
      <w:pPr>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w:t>
      </w:r>
      <w:r w:rsidR="00F82057" w:rsidRPr="00BC149D">
        <w:rPr>
          <w:rFonts w:ascii="Calibri" w:hAnsi="Calibri" w:cs="Calibri"/>
          <w:lang w:val="en-US"/>
        </w:rPr>
        <w:lastRenderedPageBreak/>
        <w:t xml:space="preserve">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w:t>
      </w:r>
      <w:proofErr w:type="spellStart"/>
      <w:r w:rsidR="00F82057" w:rsidRPr="00BC149D">
        <w:rPr>
          <w:rFonts w:ascii="Calibri" w:hAnsi="Calibri" w:cs="Calibri"/>
          <w:lang w:val="en-US"/>
        </w:rPr>
        <w:t>pnbd</w:t>
      </w:r>
      <w:proofErr w:type="spellEnd"/>
      <w:r w:rsidR="00F82057" w:rsidRPr="00BC149D">
        <w:rPr>
          <w:rFonts w:ascii="Calibri" w:hAnsi="Calibri" w:cs="Calibri"/>
          <w:lang w:val="en-US"/>
        </w:rPr>
        <w:t xml:space="preserve">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FB4A22">
      <w:pPr>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5306" w:type="dxa"/>
        <w:tblCellMar>
          <w:left w:w="70" w:type="dxa"/>
          <w:right w:w="70" w:type="dxa"/>
        </w:tblCellMar>
        <w:tblLook w:val="04A0" w:firstRow="1" w:lastRow="0" w:firstColumn="1" w:lastColumn="0" w:noHBand="0" w:noVBand="1"/>
      </w:tblPr>
      <w:tblGrid>
        <w:gridCol w:w="2386"/>
        <w:gridCol w:w="344"/>
        <w:gridCol w:w="460"/>
        <w:gridCol w:w="460"/>
        <w:gridCol w:w="460"/>
        <w:gridCol w:w="460"/>
        <w:gridCol w:w="460"/>
        <w:gridCol w:w="460"/>
      </w:tblGrid>
      <w:tr w:rsidR="00BB6C4B" w:rsidRPr="00BB6C4B" w14:paraId="39777A9E" w14:textId="77777777" w:rsidTr="00BB6C4B">
        <w:trPr>
          <w:trHeight w:val="288"/>
        </w:trPr>
        <w:tc>
          <w:tcPr>
            <w:tcW w:w="23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06BA85E"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160" w:type="dxa"/>
            <w:tcBorders>
              <w:top w:val="single" w:sz="8" w:space="0" w:color="auto"/>
              <w:left w:val="nil"/>
              <w:bottom w:val="single" w:sz="4" w:space="0" w:color="auto"/>
              <w:right w:val="nil"/>
            </w:tcBorders>
            <w:shd w:val="clear" w:color="auto" w:fill="auto"/>
            <w:noWrap/>
            <w:vAlign w:val="bottom"/>
            <w:hideMark/>
          </w:tcPr>
          <w:p w14:paraId="2D26E60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2L</w:t>
            </w:r>
          </w:p>
        </w:tc>
        <w:tc>
          <w:tcPr>
            <w:tcW w:w="460" w:type="dxa"/>
            <w:tcBorders>
              <w:top w:val="single" w:sz="8" w:space="0" w:color="auto"/>
              <w:left w:val="nil"/>
              <w:bottom w:val="single" w:sz="4" w:space="0" w:color="auto"/>
              <w:right w:val="nil"/>
            </w:tcBorders>
            <w:shd w:val="clear" w:color="auto" w:fill="auto"/>
            <w:noWrap/>
            <w:vAlign w:val="bottom"/>
            <w:hideMark/>
          </w:tcPr>
          <w:p w14:paraId="4852959F" w14:textId="77777777" w:rsidR="00BB6C4B" w:rsidRPr="00BB6C4B" w:rsidRDefault="00BB6C4B" w:rsidP="00BB6C4B">
            <w:pPr>
              <w:spacing w:after="0" w:line="240" w:lineRule="auto"/>
              <w:jc w:val="right"/>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15</w:t>
            </w:r>
          </w:p>
        </w:tc>
        <w:tc>
          <w:tcPr>
            <w:tcW w:w="460" w:type="dxa"/>
            <w:tcBorders>
              <w:top w:val="single" w:sz="8" w:space="0" w:color="auto"/>
              <w:left w:val="nil"/>
              <w:bottom w:val="single" w:sz="4" w:space="0" w:color="auto"/>
              <w:right w:val="nil"/>
            </w:tcBorders>
            <w:shd w:val="clear" w:color="auto" w:fill="auto"/>
            <w:noWrap/>
            <w:vAlign w:val="bottom"/>
            <w:hideMark/>
          </w:tcPr>
          <w:p w14:paraId="2342C5C3" w14:textId="77777777" w:rsidR="00BB6C4B" w:rsidRPr="00BB6C4B" w:rsidRDefault="00BB6C4B" w:rsidP="00BB6C4B">
            <w:pPr>
              <w:spacing w:after="0" w:line="240" w:lineRule="auto"/>
              <w:jc w:val="right"/>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53A98AE0" w14:textId="77777777" w:rsidR="00BB6C4B" w:rsidRPr="00BB6C4B" w:rsidRDefault="00BB6C4B" w:rsidP="00BB6C4B">
            <w:pPr>
              <w:spacing w:after="0" w:line="240" w:lineRule="auto"/>
              <w:jc w:val="right"/>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A41A6B1" w14:textId="77777777" w:rsidR="00BB6C4B" w:rsidRPr="00BB6C4B" w:rsidRDefault="00BB6C4B" w:rsidP="00BB6C4B">
            <w:pPr>
              <w:spacing w:after="0" w:line="240" w:lineRule="auto"/>
              <w:jc w:val="right"/>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nil"/>
            </w:tcBorders>
            <w:shd w:val="clear" w:color="auto" w:fill="auto"/>
            <w:noWrap/>
            <w:vAlign w:val="bottom"/>
            <w:hideMark/>
          </w:tcPr>
          <w:p w14:paraId="33A49CAF" w14:textId="77777777" w:rsidR="00BB6C4B" w:rsidRPr="00BB6C4B" w:rsidRDefault="00BB6C4B" w:rsidP="00BB6C4B">
            <w:pPr>
              <w:spacing w:after="0" w:line="240" w:lineRule="auto"/>
              <w:jc w:val="right"/>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35</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4D1BAAE2" w14:textId="77777777" w:rsidR="00BB6C4B" w:rsidRPr="00BB6C4B" w:rsidRDefault="00BB6C4B" w:rsidP="00BB6C4B">
            <w:pPr>
              <w:spacing w:after="0" w:line="240" w:lineRule="auto"/>
              <w:jc w:val="right"/>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34</w:t>
            </w:r>
          </w:p>
        </w:tc>
      </w:tr>
      <w:tr w:rsidR="00BB6C4B" w:rsidRPr="00BB6C4B" w14:paraId="283DFB6A"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37A7C30F"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MSIS</w:t>
            </w:r>
          </w:p>
        </w:tc>
        <w:tc>
          <w:tcPr>
            <w:tcW w:w="160" w:type="dxa"/>
            <w:tcBorders>
              <w:top w:val="nil"/>
              <w:left w:val="nil"/>
              <w:bottom w:val="single" w:sz="4" w:space="0" w:color="auto"/>
              <w:right w:val="nil"/>
            </w:tcBorders>
            <w:shd w:val="clear" w:color="auto" w:fill="auto"/>
            <w:noWrap/>
            <w:vAlign w:val="bottom"/>
            <w:hideMark/>
          </w:tcPr>
          <w:p w14:paraId="39F2F11D"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818B72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3665C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EB2F4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81822C"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46BA1A3"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024A0E9"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3623AEDB"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6CE2D325"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xml:space="preserve">(True) </w:t>
            </w:r>
            <w:proofErr w:type="spellStart"/>
            <w:r w:rsidRPr="00BB6C4B">
              <w:rPr>
                <w:rFonts w:ascii="Calibri" w:eastAsia="Times New Roman" w:hAnsi="Calibri" w:cs="Calibri"/>
                <w:color w:val="000000"/>
                <w:kern w:val="0"/>
                <w:lang w:eastAsia="de-DE"/>
                <w14:ligatures w14:val="none"/>
              </w:rPr>
              <w:t>coverage</w:t>
            </w:r>
            <w:proofErr w:type="spellEnd"/>
            <w:r w:rsidRPr="00BB6C4B">
              <w:rPr>
                <w:rFonts w:ascii="Calibri" w:eastAsia="Times New Roman" w:hAnsi="Calibri" w:cs="Calibri"/>
                <w:color w:val="000000"/>
                <w:kern w:val="0"/>
                <w:lang w:eastAsia="de-DE"/>
                <w14:ligatures w14:val="none"/>
              </w:rPr>
              <w:t xml:space="preserve"> / PICP</w:t>
            </w:r>
          </w:p>
        </w:tc>
        <w:tc>
          <w:tcPr>
            <w:tcW w:w="160" w:type="dxa"/>
            <w:tcBorders>
              <w:top w:val="nil"/>
              <w:left w:val="nil"/>
              <w:bottom w:val="single" w:sz="4" w:space="0" w:color="auto"/>
              <w:right w:val="nil"/>
            </w:tcBorders>
            <w:shd w:val="clear" w:color="auto" w:fill="auto"/>
            <w:noWrap/>
            <w:vAlign w:val="bottom"/>
            <w:hideMark/>
          </w:tcPr>
          <w:p w14:paraId="54CB10C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D4F702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8E0AB7"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33DEF10"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A0917D3"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E3B96B"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single" w:sz="8" w:space="0" w:color="auto"/>
            </w:tcBorders>
            <w:shd w:val="clear" w:color="auto" w:fill="auto"/>
            <w:noWrap/>
            <w:vAlign w:val="bottom"/>
            <w:hideMark/>
          </w:tcPr>
          <w:p w14:paraId="504D0773"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73EE2B85"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11F7C680"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xml:space="preserve">Upper </w:t>
            </w:r>
            <w:proofErr w:type="spellStart"/>
            <w:r w:rsidRPr="00BB6C4B">
              <w:rPr>
                <w:rFonts w:ascii="Calibri" w:eastAsia="Times New Roman" w:hAnsi="Calibri" w:cs="Calibri"/>
                <w:color w:val="000000"/>
                <w:kern w:val="0"/>
                <w:lang w:eastAsia="de-DE"/>
                <w14:ligatures w14:val="none"/>
              </w:rPr>
              <w:t>coverage</w:t>
            </w:r>
            <w:proofErr w:type="spellEnd"/>
          </w:p>
        </w:tc>
        <w:tc>
          <w:tcPr>
            <w:tcW w:w="160" w:type="dxa"/>
            <w:tcBorders>
              <w:top w:val="nil"/>
              <w:left w:val="nil"/>
              <w:bottom w:val="single" w:sz="4" w:space="0" w:color="auto"/>
              <w:right w:val="nil"/>
            </w:tcBorders>
            <w:shd w:val="clear" w:color="auto" w:fill="auto"/>
            <w:noWrap/>
            <w:vAlign w:val="bottom"/>
            <w:hideMark/>
          </w:tcPr>
          <w:p w14:paraId="6986E627"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7385535"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29D9CD"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B955794"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4D94E5"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55DDA7"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1B24F59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411B7D25"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130877B8"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xml:space="preserve">Lower </w:t>
            </w:r>
            <w:proofErr w:type="spellStart"/>
            <w:r w:rsidRPr="00BB6C4B">
              <w:rPr>
                <w:rFonts w:ascii="Calibri" w:eastAsia="Times New Roman" w:hAnsi="Calibri" w:cs="Calibri"/>
                <w:color w:val="000000"/>
                <w:kern w:val="0"/>
                <w:lang w:eastAsia="de-DE"/>
                <w14:ligatures w14:val="none"/>
              </w:rPr>
              <w:t>coverage</w:t>
            </w:r>
            <w:proofErr w:type="spellEnd"/>
          </w:p>
        </w:tc>
        <w:tc>
          <w:tcPr>
            <w:tcW w:w="160" w:type="dxa"/>
            <w:tcBorders>
              <w:top w:val="nil"/>
              <w:left w:val="nil"/>
              <w:bottom w:val="single" w:sz="4" w:space="0" w:color="auto"/>
              <w:right w:val="nil"/>
            </w:tcBorders>
            <w:shd w:val="clear" w:color="auto" w:fill="auto"/>
            <w:noWrap/>
            <w:vAlign w:val="bottom"/>
            <w:hideMark/>
          </w:tcPr>
          <w:p w14:paraId="46E57E9F"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D377D1D"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C7BC3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8B8AF9"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D5F773A"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6DE72E"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4D4A93F8"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0394DE94"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569CBC1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ACE</w:t>
            </w:r>
          </w:p>
        </w:tc>
        <w:tc>
          <w:tcPr>
            <w:tcW w:w="160" w:type="dxa"/>
            <w:tcBorders>
              <w:top w:val="nil"/>
              <w:left w:val="nil"/>
              <w:bottom w:val="single" w:sz="4" w:space="0" w:color="auto"/>
              <w:right w:val="nil"/>
            </w:tcBorders>
            <w:shd w:val="clear" w:color="auto" w:fill="auto"/>
            <w:noWrap/>
            <w:vAlign w:val="bottom"/>
            <w:hideMark/>
          </w:tcPr>
          <w:p w14:paraId="55E7F141"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E1F27F9"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C4D61BC"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AB40D0"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7E24B65"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F7347BE"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44942D2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4D102B1F"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012B8A18"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MSIW</w:t>
            </w:r>
          </w:p>
        </w:tc>
        <w:tc>
          <w:tcPr>
            <w:tcW w:w="160" w:type="dxa"/>
            <w:tcBorders>
              <w:top w:val="nil"/>
              <w:left w:val="nil"/>
              <w:bottom w:val="single" w:sz="4" w:space="0" w:color="auto"/>
              <w:right w:val="nil"/>
            </w:tcBorders>
            <w:shd w:val="clear" w:color="auto" w:fill="auto"/>
            <w:noWrap/>
            <w:vAlign w:val="bottom"/>
            <w:hideMark/>
          </w:tcPr>
          <w:p w14:paraId="7E5D6247"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F903A6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1D4321"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A52E4A"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7EDBCE7"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74B2AD"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15F758A3"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0C75CB35"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0053302A"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MSIWW</w:t>
            </w:r>
          </w:p>
        </w:tc>
        <w:tc>
          <w:tcPr>
            <w:tcW w:w="160" w:type="dxa"/>
            <w:tcBorders>
              <w:top w:val="nil"/>
              <w:left w:val="nil"/>
              <w:bottom w:val="single" w:sz="4" w:space="0" w:color="auto"/>
              <w:right w:val="nil"/>
            </w:tcBorders>
            <w:shd w:val="clear" w:color="auto" w:fill="auto"/>
            <w:noWrap/>
            <w:vAlign w:val="bottom"/>
            <w:hideMark/>
          </w:tcPr>
          <w:p w14:paraId="126B5DF4"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C0010F1"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96B157"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51E471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997009"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6BAB5C"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F99DB10"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524B6617" w14:textId="77777777" w:rsidTr="00BB6C4B">
        <w:trPr>
          <w:trHeight w:val="288"/>
        </w:trPr>
        <w:tc>
          <w:tcPr>
            <w:tcW w:w="2386" w:type="dxa"/>
            <w:tcBorders>
              <w:top w:val="nil"/>
              <w:left w:val="single" w:sz="8" w:space="0" w:color="auto"/>
              <w:bottom w:val="single" w:sz="4" w:space="0" w:color="auto"/>
              <w:right w:val="single" w:sz="4" w:space="0" w:color="auto"/>
            </w:tcBorders>
            <w:shd w:val="clear" w:color="auto" w:fill="auto"/>
            <w:noWrap/>
            <w:vAlign w:val="bottom"/>
            <w:hideMark/>
          </w:tcPr>
          <w:p w14:paraId="1E01744B"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SWR</w:t>
            </w:r>
          </w:p>
        </w:tc>
        <w:tc>
          <w:tcPr>
            <w:tcW w:w="160" w:type="dxa"/>
            <w:tcBorders>
              <w:top w:val="nil"/>
              <w:left w:val="nil"/>
              <w:bottom w:val="single" w:sz="4" w:space="0" w:color="auto"/>
              <w:right w:val="nil"/>
            </w:tcBorders>
            <w:shd w:val="clear" w:color="auto" w:fill="auto"/>
            <w:noWrap/>
            <w:vAlign w:val="bottom"/>
            <w:hideMark/>
          </w:tcPr>
          <w:p w14:paraId="38D7120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DB5389"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2208310"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50E3EA"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E445F7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0E97A4"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ADC58E6"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r w:rsidR="00BB6C4B" w:rsidRPr="00BB6C4B" w14:paraId="73A4BBCF" w14:textId="77777777" w:rsidTr="00BB6C4B">
        <w:trPr>
          <w:trHeight w:val="300"/>
        </w:trPr>
        <w:tc>
          <w:tcPr>
            <w:tcW w:w="2386" w:type="dxa"/>
            <w:tcBorders>
              <w:top w:val="nil"/>
              <w:left w:val="single" w:sz="8" w:space="0" w:color="auto"/>
              <w:bottom w:val="single" w:sz="8" w:space="0" w:color="auto"/>
              <w:right w:val="single" w:sz="4" w:space="0" w:color="auto"/>
            </w:tcBorders>
            <w:shd w:val="clear" w:color="auto" w:fill="auto"/>
            <w:noWrap/>
            <w:vAlign w:val="bottom"/>
            <w:hideMark/>
          </w:tcPr>
          <w:p w14:paraId="319867D5"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Bias</w:t>
            </w:r>
          </w:p>
        </w:tc>
        <w:tc>
          <w:tcPr>
            <w:tcW w:w="160" w:type="dxa"/>
            <w:tcBorders>
              <w:top w:val="nil"/>
              <w:left w:val="nil"/>
              <w:bottom w:val="single" w:sz="8" w:space="0" w:color="auto"/>
              <w:right w:val="nil"/>
            </w:tcBorders>
            <w:shd w:val="clear" w:color="auto" w:fill="auto"/>
            <w:noWrap/>
            <w:vAlign w:val="bottom"/>
            <w:hideMark/>
          </w:tcPr>
          <w:p w14:paraId="3ED42A4D"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6C67903B"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C15137B"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F992CD4"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2597E02"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E43E705"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E0291EA" w14:textId="77777777" w:rsidR="00BB6C4B" w:rsidRPr="00BB6C4B" w:rsidRDefault="00BB6C4B" w:rsidP="00BB6C4B">
            <w:pPr>
              <w:spacing w:after="0" w:line="240" w:lineRule="auto"/>
              <w:rPr>
                <w:rFonts w:ascii="Calibri" w:eastAsia="Times New Roman" w:hAnsi="Calibri" w:cs="Calibri"/>
                <w:color w:val="000000"/>
                <w:kern w:val="0"/>
                <w:lang w:eastAsia="de-DE"/>
                <w14:ligatures w14:val="none"/>
              </w:rPr>
            </w:pPr>
            <w:r w:rsidRPr="00BB6C4B">
              <w:rPr>
                <w:rFonts w:ascii="Calibri" w:eastAsia="Times New Roman" w:hAnsi="Calibri" w:cs="Calibri"/>
                <w:color w:val="000000"/>
                <w:kern w:val="0"/>
                <w:lang w:eastAsia="de-DE"/>
                <w14:ligatures w14:val="none"/>
              </w:rPr>
              <w:t> </w:t>
            </w:r>
          </w:p>
        </w:tc>
      </w:tr>
    </w:tbl>
    <w:p w14:paraId="68C2DF51" w14:textId="77777777" w:rsidR="00FB3DCF" w:rsidRPr="00BC149D" w:rsidRDefault="00FB3DCF" w:rsidP="00FB4A22">
      <w:pPr>
        <w:rPr>
          <w:rFonts w:ascii="Calibri" w:hAnsi="Calibri" w:cs="Calibri"/>
          <w:lang w:val="en-US"/>
        </w:rPr>
      </w:pPr>
    </w:p>
    <w:p w14:paraId="72663A0F" w14:textId="39CABDC7" w:rsidR="00FB3DCF" w:rsidRPr="00BC149D" w:rsidRDefault="00FB3DCF" w:rsidP="00FB4A22">
      <w:pPr>
        <w:rPr>
          <w:rFonts w:ascii="Calibri" w:hAnsi="Calibri" w:cs="Calibri"/>
          <w:lang w:val="en-US"/>
        </w:rPr>
      </w:pPr>
      <w:r w:rsidRPr="00BC149D">
        <w:rPr>
          <w:rFonts w:ascii="Calibri" w:hAnsi="Calibri" w:cs="Calibri"/>
          <w:lang w:val="en-US"/>
        </w:rPr>
        <w:t>This table is not exhaustive in a sense that it does not contain all papers that dealt with evaluating the PIs but contains a collection of recent studies that employed inter alia methods that are applicable for the CLV context as well. The measures listed above are also employed in this work. Additional measures like the NMPIL from (34,35)</w:t>
      </w:r>
      <w:r w:rsidR="004D2553" w:rsidRPr="00BC149D">
        <w:rPr>
          <w:rFonts w:ascii="Calibri" w:hAnsi="Calibri" w:cs="Calibri"/>
          <w:lang w:val="en-US"/>
        </w:rPr>
        <w:t xml:space="preserve"> were not directly translatable to the CLV context but are the</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B03AFE" w:rsidRPr="00BC149D">
        <w:rPr>
          <w:rFonts w:ascii="Calibri" w:hAnsi="Calibri" w:cs="Calibri"/>
          <w:lang w:val="en-US"/>
        </w:rPr>
        <w:t xml:space="preserve">. All the 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05AAE948" w14:textId="08EBC34E" w:rsidR="005B4B16" w:rsidRPr="00BC149D" w:rsidRDefault="005B4B16" w:rsidP="00BC149D">
      <w:pPr>
        <w:pStyle w:val="berschrift1"/>
        <w:rPr>
          <w:rFonts w:ascii="Calibri" w:hAnsi="Calibri" w:cs="Calibri"/>
          <w:lang w:val="en-US"/>
        </w:rPr>
      </w:pPr>
      <w:r w:rsidRPr="00BC149D">
        <w:rPr>
          <w:rFonts w:ascii="Calibri" w:hAnsi="Calibri" w:cs="Calibri"/>
          <w:lang w:val="en-US"/>
        </w:rPr>
        <w:t>Method</w:t>
      </w:r>
      <w:r w:rsidR="00D50170" w:rsidRPr="00BC149D">
        <w:rPr>
          <w:rFonts w:ascii="Calibri" w:hAnsi="Calibri" w:cs="Calibri"/>
          <w:lang w:val="en-US"/>
        </w:rPr>
        <w:t>s</w:t>
      </w:r>
    </w:p>
    <w:p w14:paraId="71B05FA0" w14:textId="5FDBD34E" w:rsidR="005B4B16" w:rsidRPr="00BC149D" w:rsidRDefault="005B4B16" w:rsidP="00FB4A22">
      <w:pPr>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FB4A22">
      <w:pPr>
        <w:rPr>
          <w:rFonts w:ascii="Calibri" w:hAnsi="Calibri" w:cs="Calibri"/>
          <w:lang w:val="en-US"/>
        </w:rPr>
      </w:pPr>
      <w:r w:rsidRPr="00BC149D">
        <w:rPr>
          <w:rFonts w:ascii="Calibri" w:hAnsi="Calibri" w:cs="Calibri"/>
          <w:lang w:val="en-US"/>
        </w:rPr>
        <w:t xml:space="preserve">Derive benchmarking prediction </w:t>
      </w:r>
      <w:proofErr w:type="gramStart"/>
      <w:r w:rsidRPr="00BC149D">
        <w:rPr>
          <w:rFonts w:ascii="Calibri" w:hAnsi="Calibri" w:cs="Calibri"/>
          <w:lang w:val="en-US"/>
        </w:rPr>
        <w:t>intervals</w:t>
      </w:r>
      <w:proofErr w:type="gramEnd"/>
    </w:p>
    <w:p w14:paraId="28A4C44C" w14:textId="2FCBEA94" w:rsidR="005B4B16" w:rsidRPr="00BC149D" w:rsidRDefault="005B4B16" w:rsidP="00BC149D">
      <w:pPr>
        <w:pStyle w:val="berschrift2"/>
        <w:rPr>
          <w:rFonts w:ascii="Calibri" w:hAnsi="Calibri" w:cs="Calibri"/>
          <w:lang w:val="en-US"/>
        </w:rPr>
      </w:pPr>
      <w:r w:rsidRPr="00BC149D">
        <w:rPr>
          <w:rFonts w:ascii="Calibri" w:hAnsi="Calibri" w:cs="Calibri"/>
          <w:lang w:val="en-US"/>
        </w:rPr>
        <w:t>Method 1</w:t>
      </w:r>
    </w:p>
    <w:p w14:paraId="529932EB" w14:textId="32E1ECB4" w:rsidR="005B4B16" w:rsidRPr="00BC149D" w:rsidRDefault="005B4B16" w:rsidP="00FB4A22">
      <w:pPr>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 xml:space="preserve">- and gg-model, respectively. For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-model, there are 4 parameters estimated, r</w:t>
      </w:r>
      <w:r w:rsidR="005D7185" w:rsidRPr="00BC149D">
        <w:rPr>
          <w:rFonts w:ascii="Calibri" w:hAnsi="Calibri" w:cs="Calibri"/>
          <w:lang w:val="en-US"/>
        </w:rPr>
        <w:t xml:space="preserve"> and </w:t>
      </w:r>
      <w:r w:rsidR="005D7185" w:rsidRPr="00BC149D">
        <w:rPr>
          <w:rFonts w:ascii="Calibri" w:hAnsi="Calibri" w:cs="Calibri"/>
          <w:lang w:val="en-US"/>
        </w:rPr>
        <w:t>α</w:t>
      </w:r>
      <w:r w:rsidR="005D7185" w:rsidRPr="00BC149D">
        <w:rPr>
          <w:rFonts w:ascii="Calibri" w:hAnsi="Calibri" w:cs="Calibri"/>
          <w:lang w:val="en-US"/>
        </w:rPr>
        <w:t xml:space="preserve"> as shape and scale parameter of the gamma distribution (purchase rate) and s and </w:t>
      </w:r>
      <w:r w:rsidR="005D7185" w:rsidRPr="00BC149D">
        <w:rPr>
          <w:rFonts w:ascii="Calibri" w:hAnsi="Calibri" w:cs="Calibri"/>
          <w:lang w:val="en-US"/>
        </w:rPr>
        <w:t>β</w:t>
      </w:r>
      <w:r w:rsidR="005D7185" w:rsidRPr="00BC149D">
        <w:rPr>
          <w:rFonts w:ascii="Calibri" w:hAnsi="Calibri" w:cs="Calibri"/>
          <w:lang w:val="en-US"/>
        </w:rPr>
        <w:t xml:space="preserve">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w:t>
      </w:r>
      <w:r w:rsidR="00D95E17" w:rsidRPr="00BC149D">
        <w:rPr>
          <w:rFonts w:ascii="Calibri" w:hAnsi="Calibri" w:cs="Calibri"/>
          <w:lang w:val="en-US"/>
        </w:rPr>
        <w:t xml:space="preserve">(1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w:t>
      </w:r>
      <w:r w:rsidR="00D95E17" w:rsidRPr="00BC149D">
        <w:rPr>
          <w:rFonts w:ascii="Calibri" w:hAnsi="Calibri" w:cs="Calibri"/>
          <w:lang w:val="en-US"/>
        </w:rPr>
        <w:lastRenderedPageBreak/>
        <w:t>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0469BD6E" w14:textId="60FD9466" w:rsidR="003367F9" w:rsidRPr="00BC149D" w:rsidRDefault="003367F9" w:rsidP="00BC149D">
      <w:pPr>
        <w:pStyle w:val="berschrift2"/>
        <w:rPr>
          <w:rFonts w:ascii="Calibri" w:hAnsi="Calibri" w:cs="Calibri"/>
          <w:lang w:val="en-US"/>
        </w:rPr>
      </w:pPr>
      <w:r w:rsidRPr="00BC149D">
        <w:rPr>
          <w:rFonts w:ascii="Calibri" w:hAnsi="Calibri" w:cs="Calibri"/>
          <w:lang w:val="en-US"/>
        </w:rPr>
        <w:t>Method 2</w:t>
      </w:r>
    </w:p>
    <w:p w14:paraId="6F6E32B6" w14:textId="7B04A710" w:rsidR="003367F9" w:rsidRPr="00BC149D" w:rsidRDefault="003367F9" w:rsidP="00FB4A22">
      <w:pPr>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w:t>
      </w:r>
      <w:r w:rsidR="00DA1544" w:rsidRPr="00BC149D">
        <w:rPr>
          <w:rFonts w:ascii="Calibri" w:hAnsi="Calibri" w:cs="Calibri"/>
          <w:lang w:val="en-US"/>
        </w:rPr>
        <w:t xml:space="preserve">is made </w:t>
      </w:r>
      <w:r w:rsidR="00DA1544" w:rsidRPr="00BC149D">
        <w:rPr>
          <w:rFonts w:ascii="Calibri" w:hAnsi="Calibri" w:cs="Calibri"/>
          <w:lang w:val="en-US"/>
        </w:rPr>
        <w:t xml:space="preserve">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370A4829" w14:textId="1A7FEEC4" w:rsidR="00585275" w:rsidRPr="00BC149D" w:rsidRDefault="00585275" w:rsidP="00BC149D">
      <w:pPr>
        <w:pStyle w:val="berschrift1"/>
        <w:rPr>
          <w:rFonts w:ascii="Calibri" w:hAnsi="Calibri" w:cs="Calibri"/>
          <w:lang w:val="en-US"/>
        </w:rPr>
      </w:pPr>
      <w:r w:rsidRPr="00BC149D">
        <w:rPr>
          <w:rFonts w:ascii="Calibri" w:hAnsi="Calibri" w:cs="Calibri"/>
          <w:lang w:val="en-US"/>
        </w:rPr>
        <w:t xml:space="preserve">Measures to assess reliability and </w:t>
      </w:r>
      <w:proofErr w:type="gramStart"/>
      <w:r w:rsidRPr="00BC149D">
        <w:rPr>
          <w:rFonts w:ascii="Calibri" w:hAnsi="Calibri" w:cs="Calibri"/>
          <w:lang w:val="en-US"/>
        </w:rPr>
        <w:t>sharpness</w:t>
      </w:r>
      <w:proofErr w:type="gramEnd"/>
    </w:p>
    <w:p w14:paraId="0B79EA6E" w14:textId="373D097F" w:rsidR="00585275" w:rsidRPr="00BC149D" w:rsidRDefault="00585275" w:rsidP="00FB4A22">
      <w:pPr>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FB4A22">
      <w:pPr>
        <w:rPr>
          <w:rFonts w:ascii="Calibri" w:hAnsi="Calibri" w:cs="Calibri"/>
          <w:lang w:val="en-US"/>
        </w:rPr>
      </w:pPr>
      <w:r w:rsidRPr="00BC149D">
        <w:rPr>
          <w:rFonts w:ascii="Calibri" w:hAnsi="Calibri" w:cs="Calibri"/>
          <w:lang w:val="en-US"/>
        </w:rPr>
        <w:t>(True) coverage / PICP</w:t>
      </w:r>
    </w:p>
    <w:p w14:paraId="62A4B8C1" w14:textId="629B62E2" w:rsidR="00663F3D" w:rsidRPr="00BC149D" w:rsidRDefault="00663F3D" w:rsidP="00FB4A22">
      <w:pPr>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FB4A22">
      <w:pPr>
        <w:rPr>
          <w:rStyle w:val="Fett"/>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Fett"/>
                  <w:rFonts w:ascii="Cambria Math" w:hAnsi="Cambria Math" w:cs="Calibri"/>
                  <w:b w:val="0"/>
                  <w:bCs w:val="0"/>
                  <w:color w:val="202122"/>
                  <w:sz w:val="21"/>
                  <w:szCs w:val="21"/>
                  <w:shd w:val="clear" w:color="auto" w:fill="FFFFFF"/>
                </w:rPr>
              </m:ctrlPr>
            </m:naryPr>
            <m:sub>
              <m:r>
                <w:rPr>
                  <w:rStyle w:val="Fett"/>
                  <w:rFonts w:ascii="Cambria Math" w:hAnsi="Cambria Math" w:cs="Calibri"/>
                  <w:color w:val="202122"/>
                  <w:sz w:val="21"/>
                  <w:szCs w:val="21"/>
                  <w:shd w:val="clear" w:color="auto" w:fill="FFFFFF"/>
                </w:rPr>
                <m:t>i=1</m:t>
              </m:r>
            </m:sub>
            <m:sup>
              <m:r>
                <w:rPr>
                  <w:rStyle w:val="Fett"/>
                  <w:rFonts w:ascii="Cambria Math" w:hAnsi="Cambria Math" w:cs="Calibri"/>
                  <w:color w:val="202122"/>
                  <w:sz w:val="21"/>
                  <w:szCs w:val="21"/>
                  <w:shd w:val="clear" w:color="auto" w:fill="FFFFFF"/>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PI</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FB4A22">
      <w:pPr>
        <w:rPr>
          <w:rFonts w:ascii="Calibri" w:hAnsi="Calibri" w:cs="Calibri"/>
          <w:lang w:val="en-US"/>
        </w:rPr>
      </w:pPr>
      <w:r w:rsidRPr="00BC149D">
        <w:rPr>
          <w:rFonts w:ascii="Calibri" w:hAnsi="Calibri" w:cs="Calibri"/>
          <w:lang w:val="en-US"/>
        </w:rPr>
        <w:t xml:space="preserve">With n being the number of customers, </w:t>
      </w:r>
      <w:proofErr w:type="spellStart"/>
      <w:r w:rsidRPr="00BC149D">
        <w:rPr>
          <w:rFonts w:ascii="Calibri" w:hAnsi="Calibri" w:cs="Calibri"/>
          <w:lang w:val="en-US"/>
        </w:rPr>
        <w:t>y</w:t>
      </w:r>
      <w:r w:rsidRPr="00BC149D">
        <w:rPr>
          <w:rFonts w:ascii="Calibri" w:hAnsi="Calibri" w:cs="Calibri"/>
          <w:vertAlign w:val="subscript"/>
          <w:lang w:val="en-US"/>
        </w:rPr>
        <w:t>i</w:t>
      </w:r>
      <w:proofErr w:type="spellEnd"/>
      <w:r w:rsidRPr="00BC149D">
        <w:rPr>
          <w:rFonts w:ascii="Calibri" w:hAnsi="Calibri" w:cs="Calibri"/>
          <w:lang w:val="en-US"/>
        </w:rPr>
        <w:t xml:space="preserve"> the true observation for a customer’s CLV and </w:t>
      </w:r>
      <w:proofErr w:type="spellStart"/>
      <w:r w:rsidRPr="00BC149D">
        <w:rPr>
          <w:rFonts w:ascii="Calibri" w:hAnsi="Calibri" w:cs="Calibri"/>
          <w:lang w:val="en-US"/>
        </w:rPr>
        <w:t>PI</w:t>
      </w:r>
      <w:r w:rsidRPr="00BC149D">
        <w:rPr>
          <w:rFonts w:ascii="Calibri" w:hAnsi="Calibri" w:cs="Calibri"/>
          <w:vertAlign w:val="subscript"/>
          <w:lang w:val="en-US"/>
        </w:rPr>
        <w:t>i</w:t>
      </w:r>
      <w:proofErr w:type="spellEnd"/>
      <w:r w:rsidRPr="00BC149D">
        <w:rPr>
          <w:rFonts w:ascii="Calibri" w:hAnsi="Calibri" w:cs="Calibri"/>
          <w:lang w:val="en-US"/>
        </w:rPr>
        <w:t xml:space="preserve"> the respective prediction interval.</w:t>
      </w:r>
    </w:p>
    <w:p w14:paraId="2C7F42EB" w14:textId="62489D88" w:rsidR="00396F21" w:rsidRPr="00BC149D" w:rsidRDefault="00396F21" w:rsidP="00BC149D">
      <w:pPr>
        <w:pStyle w:val="berschrift2"/>
        <w:rPr>
          <w:rFonts w:ascii="Calibri" w:hAnsi="Calibri" w:cs="Calibri"/>
          <w:lang w:val="en-US"/>
        </w:rPr>
      </w:pPr>
      <w:r w:rsidRPr="00BC149D">
        <w:rPr>
          <w:rFonts w:ascii="Calibri" w:hAnsi="Calibri" w:cs="Calibri"/>
          <w:lang w:val="en-US"/>
        </w:rPr>
        <w:t>ACE</w:t>
      </w:r>
    </w:p>
    <w:p w14:paraId="52D088C7" w14:textId="1E99258A" w:rsidR="00396F21" w:rsidRPr="00BC149D" w:rsidRDefault="00396F21" w:rsidP="00FB4A22">
      <w:pPr>
        <w:rPr>
          <w:rFonts w:ascii="Calibri" w:hAnsi="Calibri" w:cs="Calibri"/>
          <w:lang w:val="en-US"/>
        </w:rPr>
      </w:pPr>
      <w:r w:rsidRPr="00BC149D">
        <w:rPr>
          <w:rFonts w:ascii="Calibri" w:hAnsi="Calibri" w:cs="Calibri"/>
          <w:lang w:val="en-US"/>
        </w:rPr>
        <w:t xml:space="preserve">This measure indicates how much on average the intended nominal prediction coverage, PINC, e.g. 90% and the true coverage, PICP </w:t>
      </w:r>
      <w:proofErr w:type="gramStart"/>
      <w:r w:rsidRPr="00BC149D">
        <w:rPr>
          <w:rFonts w:ascii="Calibri" w:hAnsi="Calibri" w:cs="Calibri"/>
          <w:lang w:val="en-US"/>
        </w:rPr>
        <w:t>differ</w:t>
      </w:r>
      <w:proofErr w:type="gramEnd"/>
    </w:p>
    <w:p w14:paraId="255FF3A4" w14:textId="7ED1F7DE" w:rsidR="00396F21" w:rsidRPr="00BC149D" w:rsidRDefault="00396F21" w:rsidP="00FB4A22">
      <w:pPr>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BC149D">
      <w:pPr>
        <w:pStyle w:val="berschrift2"/>
        <w:rPr>
          <w:rFonts w:ascii="Calibri" w:hAnsi="Calibri" w:cs="Calibri"/>
          <w:lang w:val="en-US"/>
        </w:rPr>
      </w:pPr>
      <w:r w:rsidRPr="00BC149D">
        <w:rPr>
          <w:rFonts w:ascii="Calibri" w:hAnsi="Calibri" w:cs="Calibri"/>
          <w:lang w:val="en-US"/>
        </w:rPr>
        <w:t>Upper coverage</w:t>
      </w:r>
    </w:p>
    <w:p w14:paraId="1CB835BB" w14:textId="7B630D4D" w:rsidR="00663F3D" w:rsidRPr="00BC149D" w:rsidRDefault="00663F3D" w:rsidP="00FB4A22">
      <w:pPr>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w:t>
      </w:r>
      <w:proofErr w:type="gramStart"/>
      <w:r w:rsidR="001771E4" w:rsidRPr="00BC149D">
        <w:rPr>
          <w:rFonts w:ascii="Calibri" w:hAnsi="Calibri" w:cs="Calibri"/>
          <w:lang w:val="en-US"/>
        </w:rPr>
        <w:t>value</w:t>
      </w:r>
      <w:proofErr w:type="gramEnd"/>
    </w:p>
    <w:p w14:paraId="25F238D9" w14:textId="07CC9012" w:rsidR="00396F21" w:rsidRPr="00BC149D" w:rsidRDefault="00396F21" w:rsidP="00FB4A22">
      <w:pPr>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&lt;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UL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FB4A22">
      <w:pPr>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BC149D">
      <w:pPr>
        <w:pStyle w:val="berschrift2"/>
        <w:rPr>
          <w:rFonts w:ascii="Calibri" w:hAnsi="Calibri" w:cs="Calibri"/>
          <w:lang w:val="en-US"/>
        </w:rPr>
      </w:pPr>
      <w:r w:rsidRPr="00BC149D">
        <w:rPr>
          <w:rFonts w:ascii="Calibri" w:hAnsi="Calibri" w:cs="Calibri"/>
          <w:lang w:val="en-US"/>
        </w:rPr>
        <w:t>Lower</w:t>
      </w:r>
      <w:r w:rsidRPr="00BC149D">
        <w:rPr>
          <w:rFonts w:ascii="Calibri" w:hAnsi="Calibri" w:cs="Calibri"/>
          <w:lang w:val="en-US"/>
        </w:rPr>
        <w:t xml:space="preserve"> coverage</w:t>
      </w:r>
    </w:p>
    <w:p w14:paraId="7606F515" w14:textId="3CEB8AAD" w:rsidR="001771E4" w:rsidRPr="00BC149D" w:rsidRDefault="001771E4" w:rsidP="001771E4">
      <w:pPr>
        <w:rPr>
          <w:rFonts w:ascii="Calibri" w:hAnsi="Calibri" w:cs="Calibri"/>
          <w:lang w:val="en-US"/>
        </w:rPr>
      </w:pPr>
      <w:r w:rsidRPr="00BC149D">
        <w:rPr>
          <w:rFonts w:ascii="Calibri" w:hAnsi="Calibri" w:cs="Calibri"/>
          <w:lang w:val="en-US"/>
        </w:rPr>
        <w:t xml:space="preserve">This measure indicates the percentage of times the </w:t>
      </w:r>
      <w:r w:rsidRPr="00BC149D">
        <w:rPr>
          <w:rFonts w:ascii="Calibri" w:hAnsi="Calibri" w:cs="Calibri"/>
          <w:lang w:val="en-US"/>
        </w:rPr>
        <w:t>lower</w:t>
      </w:r>
      <w:r w:rsidRPr="00BC149D">
        <w:rPr>
          <w:rFonts w:ascii="Calibri" w:hAnsi="Calibri" w:cs="Calibri"/>
          <w:lang w:val="en-US"/>
        </w:rPr>
        <w:t xml:space="preserve"> prediction limit was not exceeded</w:t>
      </w:r>
      <w:r w:rsidRPr="00BC149D">
        <w:rPr>
          <w:rFonts w:ascii="Calibri" w:hAnsi="Calibri" w:cs="Calibri"/>
          <w:lang w:val="en-US"/>
        </w:rPr>
        <w:t xml:space="preserve"> by the true </w:t>
      </w:r>
      <w:proofErr w:type="gramStart"/>
      <w:r w:rsidRPr="00BC149D">
        <w:rPr>
          <w:rFonts w:ascii="Calibri" w:hAnsi="Calibri" w:cs="Calibri"/>
          <w:lang w:val="en-US"/>
        </w:rPr>
        <w:t>value</w:t>
      </w:r>
      <w:proofErr w:type="gramEnd"/>
    </w:p>
    <w:p w14:paraId="03F50B90" w14:textId="1999C148" w:rsidR="001771E4" w:rsidRPr="00BC149D" w:rsidRDefault="001771E4" w:rsidP="001771E4">
      <w:pPr>
        <w:rPr>
          <w:rFonts w:ascii="Calibri" w:eastAsiaTheme="minorEastAsia" w:hAnsi="Calibri" w:cs="Calibri"/>
          <w:lang w:val="en-US"/>
        </w:rPr>
      </w:pPr>
      <m:oMathPara>
        <m:oMath>
          <m:r>
            <w:rPr>
              <w:rFonts w:ascii="Cambria Math" w:hAnsi="Cambria Math" w:cs="Calibri"/>
              <w:lang w:val="en-US"/>
            </w:rPr>
            <m:t>Lower</m:t>
          </m:r>
          <m:r>
            <w:rPr>
              <w:rFonts w:ascii="Cambria Math" w:hAnsi="Cambria Math" w:cs="Calibri"/>
              <w:lang w:val="en-US"/>
            </w:rPr>
            <m:t xml:space="preserve">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&gt;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L</m:t>
                  </m:r>
                  <m:r>
                    <w:rPr>
                      <w:rStyle w:val="Fett"/>
                      <w:rFonts w:ascii="Cambria Math" w:hAnsi="Cambria Math" w:cs="Calibri"/>
                      <w:color w:val="202122"/>
                      <w:sz w:val="21"/>
                      <w:szCs w:val="21"/>
                      <w:shd w:val="clear" w:color="auto" w:fill="FFFFFF"/>
                    </w:rPr>
                    <m:t>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FB4A22">
      <w:pPr>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BC149D">
      <w:pPr>
        <w:pStyle w:val="berschrift2"/>
        <w:rPr>
          <w:rFonts w:ascii="Calibri" w:eastAsiaTheme="minorEastAsia" w:hAnsi="Calibri" w:cs="Calibri"/>
          <w:lang w:val="en-US"/>
        </w:rPr>
      </w:pPr>
      <w:r w:rsidRPr="00BC149D">
        <w:rPr>
          <w:rFonts w:ascii="Calibri" w:eastAsiaTheme="minorEastAsia" w:hAnsi="Calibri" w:cs="Calibri"/>
          <w:lang w:val="en-US"/>
        </w:rPr>
        <w:lastRenderedPageBreak/>
        <w:t>MIS</w:t>
      </w:r>
    </w:p>
    <w:p w14:paraId="7040F18C" w14:textId="2A14F966" w:rsidR="002022A5" w:rsidRPr="00BC149D" w:rsidRDefault="002022A5" w:rsidP="00FB4A22">
      <w:pPr>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FB4A22">
      <w:pPr>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BC149D">
      <w:pPr>
        <w:pStyle w:val="berschrift2"/>
        <w:rPr>
          <w:rFonts w:ascii="Calibri" w:hAnsi="Calibri" w:cs="Calibri"/>
          <w:lang w:val="en-US"/>
        </w:rPr>
      </w:pPr>
      <w:r w:rsidRPr="00BC149D">
        <w:rPr>
          <w:rFonts w:ascii="Calibri" w:hAnsi="Calibri" w:cs="Calibri"/>
          <w:lang w:val="en-US"/>
        </w:rPr>
        <w:t>MSIW</w:t>
      </w:r>
      <w:r w:rsidR="004244C8" w:rsidRPr="00BC149D">
        <w:rPr>
          <w:rFonts w:ascii="Calibri" w:hAnsi="Calibri" w:cs="Calibri"/>
          <w:lang w:val="en-US"/>
        </w:rPr>
        <w:t xml:space="preserve"> (Mean Scaled Interval Width)</w:t>
      </w:r>
    </w:p>
    <w:p w14:paraId="5EF6F58E" w14:textId="1172886E" w:rsidR="001771E4" w:rsidRPr="00BC149D" w:rsidRDefault="001771E4" w:rsidP="00FB4A22">
      <w:pPr>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FB4A22">
      <w:pPr>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BC149D">
      <w:pPr>
        <w:pStyle w:val="berschrift2"/>
        <w:rPr>
          <w:rFonts w:ascii="Calibri" w:eastAsiaTheme="minorEastAsia" w:hAnsi="Calibri" w:cs="Calibri"/>
          <w:lang w:val="en-US"/>
        </w:rPr>
      </w:pPr>
      <w:r w:rsidRPr="00BC149D">
        <w:rPr>
          <w:rFonts w:ascii="Calibri" w:eastAsiaTheme="minorEastAsia" w:hAnsi="Calibri" w:cs="Calibri"/>
          <w:lang w:val="en-US"/>
        </w:rPr>
        <w:t>MSIWW</w:t>
      </w:r>
      <w:r w:rsidR="004244C8" w:rsidRPr="00BC149D">
        <w:rPr>
          <w:rFonts w:ascii="Calibri" w:eastAsiaTheme="minorEastAsia" w:hAnsi="Calibri" w:cs="Calibri"/>
          <w:lang w:val="en-US"/>
        </w:rPr>
        <w:t xml:space="preserve"> (Mean Scaled Interval Width Weighted)</w:t>
      </w:r>
    </w:p>
    <w:p w14:paraId="3E8D931C" w14:textId="21D5DDA3" w:rsidR="00747857" w:rsidRPr="00BC149D" w:rsidRDefault="00374C07" w:rsidP="00FB4A22">
      <w:pPr>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BC149D" w:rsidRDefault="006644BB" w:rsidP="00FB4A22">
      <w:pPr>
        <w:rPr>
          <w:rFonts w:ascii="Calibri" w:eastAsiaTheme="minorEastAsia" w:hAnsi="Calibri" w:cs="Calibri"/>
          <w:lang w:val="en-US"/>
        </w:rPr>
      </w:pPr>
      <m:oMathPara>
        <m:oMath>
          <m:r>
            <w:rPr>
              <w:rFonts w:ascii="Cambria Math" w:hAnsi="Cambria Math" w:cs="Calibri"/>
              <w:lang w:val="en-US"/>
            </w:rPr>
            <m:t>MSIW</m:t>
          </m:r>
          <m:r>
            <w:rPr>
              <w:rFonts w:ascii="Cambria Math" w:hAnsi="Cambria Math" w:cs="Calibri"/>
              <w:lang w:val="en-US"/>
            </w:rPr>
            <m:t>W</m:t>
          </m:r>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BC149D">
      <w:pPr>
        <w:pStyle w:val="berschrift2"/>
        <w:rPr>
          <w:rFonts w:ascii="Calibri" w:eastAsiaTheme="minorEastAsia" w:hAnsi="Calibri" w:cs="Calibri"/>
          <w:lang w:val="en-US"/>
        </w:rPr>
      </w:pPr>
      <w:r w:rsidRPr="00BC149D">
        <w:rPr>
          <w:rFonts w:ascii="Calibri" w:eastAsiaTheme="minorEastAsia" w:hAnsi="Calibri" w:cs="Calibri"/>
          <w:lang w:val="en-US"/>
        </w:rPr>
        <w:t>SWR (Sharpness Width Ratio)</w:t>
      </w:r>
    </w:p>
    <w:p w14:paraId="51466D31" w14:textId="4F4E440B" w:rsidR="004244C8" w:rsidRPr="00BC149D" w:rsidRDefault="004244C8" w:rsidP="00FB4A22">
      <w:pPr>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FB4A22">
      <w:pPr>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BC149D">
      <w:pPr>
        <w:pStyle w:val="berschrift2"/>
        <w:rPr>
          <w:rFonts w:ascii="Calibri" w:hAnsi="Calibri" w:cs="Calibri"/>
          <w:lang w:val="en-US"/>
        </w:rPr>
      </w:pPr>
      <w:r w:rsidRPr="00BC149D">
        <w:rPr>
          <w:rFonts w:ascii="Calibri" w:hAnsi="Calibri" w:cs="Calibri"/>
          <w:lang w:val="en-US"/>
        </w:rPr>
        <w:t>Bias</w:t>
      </w:r>
    </w:p>
    <w:p w14:paraId="740C0A05" w14:textId="5E707246" w:rsidR="00C620EA" w:rsidRPr="00BC149D" w:rsidRDefault="00C620EA" w:rsidP="00FB4A22">
      <w:pPr>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FB4A22">
      <w:pPr>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FB4A22">
      <w:pPr>
        <w:rPr>
          <w:rFonts w:ascii="Calibri"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yEst</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BC149D">
      <w:pPr>
        <w:pStyle w:val="berschrift1"/>
        <w:rPr>
          <w:rFonts w:ascii="Calibri" w:hAnsi="Calibri" w:cs="Calibri"/>
          <w:lang w:val="en-US"/>
        </w:rPr>
      </w:pPr>
      <w:r w:rsidRPr="00BC149D">
        <w:rPr>
          <w:rFonts w:ascii="Calibri" w:hAnsi="Calibri" w:cs="Calibri"/>
          <w:lang w:val="en-US"/>
        </w:rPr>
        <w:lastRenderedPageBreak/>
        <w:t>Results</w:t>
      </w:r>
    </w:p>
    <w:p w14:paraId="4BE7771A" w14:textId="1C7D52E9" w:rsidR="00E068EB" w:rsidRPr="00BC149D" w:rsidRDefault="00E53264" w:rsidP="00FB4A22">
      <w:pPr>
        <w:rPr>
          <w:rFonts w:ascii="Calibri" w:hAnsi="Calibri" w:cs="Calibri"/>
          <w:lang w:val="en-US"/>
        </w:rPr>
      </w:pPr>
      <w:r w:rsidRPr="00BC149D">
        <w:rPr>
          <w:rFonts w:ascii="Calibri" w:hAnsi="Calibri" w:cs="Calibri"/>
          <w:lang w:val="en-US"/>
        </w:rPr>
        <w:t>To assess the CLVTools bootstrap intervals, they will be benchmarked in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E068EB" w:rsidRPr="00BC149D">
        <w:rPr>
          <w:rFonts w:ascii="Calibri" w:hAnsi="Calibri" w:cs="Calibri"/>
          <w:lang w:val="en-US"/>
        </w:rPr>
        <w:t xml:space="preserve"> In addition, this methodology will be applied to several datasets and the results averaged over them.</w:t>
      </w:r>
    </w:p>
    <w:p w14:paraId="5A79D38C" w14:textId="68898736" w:rsidR="00AB6E2C" w:rsidRPr="00BC149D" w:rsidRDefault="00E068EB" w:rsidP="00AB6E2C">
      <w:pPr>
        <w:rPr>
          <w:rFonts w:ascii="Calibri" w:hAnsi="Calibri" w:cs="Calibri"/>
          <w:lang w:val="en-US"/>
        </w:rPr>
      </w:pPr>
      <w:r w:rsidRPr="00BC149D">
        <w:rPr>
          <w:rFonts w:ascii="Calibri" w:hAnsi="Calibri" w:cs="Calibri"/>
          <w:lang w:val="en-US"/>
        </w:rPr>
        <w:t>See in the following the resulting table.</w:t>
      </w:r>
    </w:p>
    <w:p w14:paraId="023D319B" w14:textId="435B5BFE" w:rsidR="00AB6E2C" w:rsidRPr="00BC149D" w:rsidRDefault="00622AF4" w:rsidP="00AB6E2C">
      <w:pPr>
        <w:rPr>
          <w:rFonts w:ascii="Calibri" w:hAnsi="Calibri" w:cs="Calibri"/>
          <w:lang w:val="en-US"/>
        </w:rPr>
      </w:pPr>
      <w:r w:rsidRPr="00BC149D">
        <w:rPr>
          <w:rFonts w:ascii="Calibri" w:hAnsi="Calibri" w:cs="Calibri"/>
          <w:lang w:val="en-US"/>
        </w:rPr>
        <w:drawing>
          <wp:inline distT="0" distB="0" distL="0" distR="0" wp14:anchorId="22E507BA" wp14:editId="34226754">
            <wp:extent cx="5760720" cy="1317625"/>
            <wp:effectExtent l="0" t="0" r="0" b="0"/>
            <wp:docPr id="21393853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85302" name=""/>
                    <pic:cNvPicPr/>
                  </pic:nvPicPr>
                  <pic:blipFill>
                    <a:blip r:embed="rId8"/>
                    <a:stretch>
                      <a:fillRect/>
                    </a:stretch>
                  </pic:blipFill>
                  <pic:spPr>
                    <a:xfrm>
                      <a:off x="0" y="0"/>
                      <a:ext cx="5760720" cy="1317625"/>
                    </a:xfrm>
                    <a:prstGeom prst="rect">
                      <a:avLst/>
                    </a:prstGeom>
                  </pic:spPr>
                </pic:pic>
              </a:graphicData>
            </a:graphic>
          </wp:inline>
        </w:drawing>
      </w:r>
    </w:p>
    <w:p w14:paraId="015B8214" w14:textId="77777777" w:rsidR="00934C19" w:rsidRDefault="00AD3B5B" w:rsidP="00622AF4">
      <w:pPr>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39B70CB7" w14:textId="6348242C" w:rsidR="00934C19" w:rsidRDefault="00934C19" w:rsidP="00934C19">
      <w:pPr>
        <w:pStyle w:val="Listenabsatz"/>
        <w:numPr>
          <w:ilvl w:val="0"/>
          <w:numId w:val="4"/>
        </w:numPr>
        <w:rPr>
          <w:rFonts w:ascii="Calibri" w:hAnsi="Calibri" w:cs="Calibri"/>
          <w:lang w:val="en-US"/>
        </w:rPr>
      </w:pPr>
      <w:r>
        <w:rPr>
          <w:rFonts w:ascii="Calibri" w:hAnsi="Calibri" w:cs="Calibri"/>
          <w:lang w:val="en-US"/>
        </w:rPr>
        <w:t>Differences between datasets</w:t>
      </w:r>
    </w:p>
    <w:p w14:paraId="4B76C6A4" w14:textId="67ECCDCB" w:rsidR="00622AF4" w:rsidRPr="00934C19" w:rsidRDefault="00AD3B5B" w:rsidP="00934C19">
      <w:pPr>
        <w:pStyle w:val="Listenabsatz"/>
        <w:numPr>
          <w:ilvl w:val="0"/>
          <w:numId w:val="4"/>
        </w:numPr>
        <w:rPr>
          <w:rFonts w:ascii="Calibri" w:hAnsi="Calibri" w:cs="Calibri"/>
          <w:lang w:val="en-US"/>
        </w:rPr>
      </w:pPr>
      <w:r w:rsidRPr="00934C19">
        <w:rPr>
          <w:rFonts w:ascii="Calibri" w:hAnsi="Calibri" w:cs="Calibri"/>
          <w:lang w:val="en-US"/>
        </w:rPr>
        <w:drawing>
          <wp:anchor distT="0" distB="0" distL="114300" distR="114300" simplePos="0" relativeHeight="251658240" behindDoc="0" locked="0" layoutInCell="1" allowOverlap="1" wp14:anchorId="2F749447" wp14:editId="70259046">
            <wp:simplePos x="0" y="0"/>
            <wp:positionH relativeFrom="column">
              <wp:posOffset>37465</wp:posOffset>
            </wp:positionH>
            <wp:positionV relativeFrom="paragraph">
              <wp:posOffset>512445</wp:posOffset>
            </wp:positionV>
            <wp:extent cx="3454400" cy="3108960"/>
            <wp:effectExtent l="0" t="0" r="0" b="0"/>
            <wp:wrapSquare wrapText="bothSides"/>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3108960"/>
                    </a:xfrm>
                    <a:prstGeom prst="rect">
                      <a:avLst/>
                    </a:prstGeom>
                    <a:noFill/>
                    <a:ln>
                      <a:noFill/>
                    </a:ln>
                  </pic:spPr>
                </pic:pic>
              </a:graphicData>
            </a:graphic>
          </wp:anchor>
        </w:drawing>
      </w:r>
      <w:r w:rsidR="00934C19">
        <w:rPr>
          <w:rFonts w:ascii="Calibri" w:hAnsi="Calibri" w:cs="Calibri"/>
          <w:lang w:val="en-US"/>
        </w:rPr>
        <w:t>I</w:t>
      </w:r>
      <w:r w:rsidR="00934C19" w:rsidRPr="00934C19">
        <w:rPr>
          <w:rFonts w:ascii="Calibri" w:hAnsi="Calibri" w:cs="Calibri"/>
          <w:lang w:val="en-US"/>
        </w:rPr>
        <w:t>n which cases</w:t>
      </w:r>
      <w:r w:rsidR="00934C19">
        <w:rPr>
          <w:rFonts w:ascii="Calibri" w:hAnsi="Calibri" w:cs="Calibri"/>
          <w:lang w:val="en-US"/>
        </w:rPr>
        <w:t xml:space="preserve"> is the performance of intervals good</w:t>
      </w:r>
      <w:r w:rsidR="00934C19" w:rsidRPr="00934C19">
        <w:rPr>
          <w:rFonts w:ascii="Calibri" w:hAnsi="Calibri" w:cs="Calibri"/>
          <w:lang w:val="en-US"/>
        </w:rPr>
        <w:t xml:space="preserve"> </w:t>
      </w:r>
      <w:r w:rsidR="00934C19">
        <w:rPr>
          <w:rFonts w:ascii="Calibri" w:hAnsi="Calibri" w:cs="Calibri"/>
          <w:lang w:val="en-US"/>
        </w:rPr>
        <w:t>and when not? -&gt; further analyses</w:t>
      </w:r>
    </w:p>
    <w:p w14:paraId="3232F3F2" w14:textId="5D67D0E4" w:rsidR="00622AF4" w:rsidRPr="00BC149D" w:rsidRDefault="00622AF4" w:rsidP="00BC149D">
      <w:pPr>
        <w:pStyle w:val="berschrift1"/>
        <w:rPr>
          <w:rFonts w:ascii="Calibri" w:hAnsi="Calibri" w:cs="Calibri"/>
          <w:lang w:val="en-US"/>
        </w:rPr>
      </w:pPr>
      <w:r w:rsidRPr="00BC149D">
        <w:rPr>
          <w:rFonts w:ascii="Calibri" w:hAnsi="Calibri" w:cs="Calibri"/>
          <w:lang w:val="en-US"/>
        </w:rPr>
        <w:lastRenderedPageBreak/>
        <w:t>Appendix</w:t>
      </w:r>
    </w:p>
    <w:p w14:paraId="240FD153" w14:textId="100E8422" w:rsidR="00622AF4" w:rsidRPr="00BC149D" w:rsidRDefault="008A2696" w:rsidP="00622AF4">
      <w:pPr>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3D401" w14:textId="77777777" w:rsidR="007139FE" w:rsidRDefault="007139FE" w:rsidP="00BE2CB5">
      <w:pPr>
        <w:spacing w:after="0" w:line="240" w:lineRule="auto"/>
      </w:pPr>
      <w:r>
        <w:separator/>
      </w:r>
    </w:p>
  </w:endnote>
  <w:endnote w:type="continuationSeparator" w:id="0">
    <w:p w14:paraId="5BD5EC2E" w14:textId="77777777" w:rsidR="007139FE" w:rsidRDefault="007139FE"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1C360" w14:textId="77777777" w:rsidR="007139FE" w:rsidRDefault="007139FE" w:rsidP="00BE2CB5">
      <w:pPr>
        <w:spacing w:after="0" w:line="240" w:lineRule="auto"/>
      </w:pPr>
      <w:r>
        <w:separator/>
      </w:r>
    </w:p>
  </w:footnote>
  <w:footnote w:type="continuationSeparator" w:id="0">
    <w:p w14:paraId="41F5F345" w14:textId="77777777" w:rsidR="007139FE" w:rsidRDefault="007139FE" w:rsidP="00BE2CB5">
      <w:pPr>
        <w:spacing w:after="0" w:line="240" w:lineRule="auto"/>
      </w:pPr>
      <w:r>
        <w:continuationSeparator/>
      </w:r>
    </w:p>
  </w:footnote>
  <w:footnote w:id="1">
    <w:p w14:paraId="5161A0DB" w14:textId="73135248" w:rsidR="00E436A3" w:rsidRPr="00E436A3" w:rsidRDefault="00E436A3">
      <w:pPr>
        <w:pStyle w:val="Funotentext"/>
        <w:rPr>
          <w:lang w:val="en-US"/>
        </w:rPr>
      </w:pPr>
      <w:r>
        <w:rPr>
          <w:rStyle w:val="Funotenzeichen"/>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46D33"/>
    <w:rsid w:val="00116E5C"/>
    <w:rsid w:val="001623E8"/>
    <w:rsid w:val="001771E4"/>
    <w:rsid w:val="001A6A05"/>
    <w:rsid w:val="001D49AD"/>
    <w:rsid w:val="001E5A4A"/>
    <w:rsid w:val="001F0823"/>
    <w:rsid w:val="002022A5"/>
    <w:rsid w:val="0021482A"/>
    <w:rsid w:val="002244B5"/>
    <w:rsid w:val="00226288"/>
    <w:rsid w:val="00244D0C"/>
    <w:rsid w:val="00264A11"/>
    <w:rsid w:val="00273F3C"/>
    <w:rsid w:val="002819D6"/>
    <w:rsid w:val="002C52E8"/>
    <w:rsid w:val="002D1EAB"/>
    <w:rsid w:val="002D5C2C"/>
    <w:rsid w:val="00302216"/>
    <w:rsid w:val="003367F9"/>
    <w:rsid w:val="00374C07"/>
    <w:rsid w:val="00396F21"/>
    <w:rsid w:val="003E6C27"/>
    <w:rsid w:val="004244C8"/>
    <w:rsid w:val="004520F9"/>
    <w:rsid w:val="004634BF"/>
    <w:rsid w:val="00485C36"/>
    <w:rsid w:val="004B6C8E"/>
    <w:rsid w:val="004C1FEA"/>
    <w:rsid w:val="004D2553"/>
    <w:rsid w:val="00505E40"/>
    <w:rsid w:val="005156A4"/>
    <w:rsid w:val="005628FC"/>
    <w:rsid w:val="00582367"/>
    <w:rsid w:val="00585275"/>
    <w:rsid w:val="005A7510"/>
    <w:rsid w:val="005B4B16"/>
    <w:rsid w:val="005C1A69"/>
    <w:rsid w:val="005C783E"/>
    <w:rsid w:val="005D7185"/>
    <w:rsid w:val="00622AF4"/>
    <w:rsid w:val="00626D84"/>
    <w:rsid w:val="00663F3D"/>
    <w:rsid w:val="006644BB"/>
    <w:rsid w:val="006931C4"/>
    <w:rsid w:val="006F0BEA"/>
    <w:rsid w:val="006F2DDA"/>
    <w:rsid w:val="007139FE"/>
    <w:rsid w:val="00743AA1"/>
    <w:rsid w:val="00743ECC"/>
    <w:rsid w:val="00747857"/>
    <w:rsid w:val="0075053C"/>
    <w:rsid w:val="00784E6F"/>
    <w:rsid w:val="0080715E"/>
    <w:rsid w:val="00810ACE"/>
    <w:rsid w:val="008407EC"/>
    <w:rsid w:val="00877EE1"/>
    <w:rsid w:val="008A0BE7"/>
    <w:rsid w:val="008A2696"/>
    <w:rsid w:val="008F1C54"/>
    <w:rsid w:val="008F3578"/>
    <w:rsid w:val="008F5CBF"/>
    <w:rsid w:val="00921B96"/>
    <w:rsid w:val="0092549D"/>
    <w:rsid w:val="00934C19"/>
    <w:rsid w:val="0098444A"/>
    <w:rsid w:val="0099332E"/>
    <w:rsid w:val="009934C3"/>
    <w:rsid w:val="009B51E8"/>
    <w:rsid w:val="009C5AC9"/>
    <w:rsid w:val="009E00FD"/>
    <w:rsid w:val="009F69A8"/>
    <w:rsid w:val="00A00BA4"/>
    <w:rsid w:val="00A1027A"/>
    <w:rsid w:val="00A34EA9"/>
    <w:rsid w:val="00A355BD"/>
    <w:rsid w:val="00A83DD4"/>
    <w:rsid w:val="00A90539"/>
    <w:rsid w:val="00AB2CEB"/>
    <w:rsid w:val="00AB6E2C"/>
    <w:rsid w:val="00AD3B5B"/>
    <w:rsid w:val="00B03AFE"/>
    <w:rsid w:val="00B41AF4"/>
    <w:rsid w:val="00B7048F"/>
    <w:rsid w:val="00BB6C4B"/>
    <w:rsid w:val="00BC149D"/>
    <w:rsid w:val="00BE2CB5"/>
    <w:rsid w:val="00C04C3A"/>
    <w:rsid w:val="00C127A5"/>
    <w:rsid w:val="00C2225C"/>
    <w:rsid w:val="00C620EA"/>
    <w:rsid w:val="00CB0676"/>
    <w:rsid w:val="00CB6151"/>
    <w:rsid w:val="00CD1901"/>
    <w:rsid w:val="00CD225B"/>
    <w:rsid w:val="00CD453A"/>
    <w:rsid w:val="00CD4C97"/>
    <w:rsid w:val="00D21D55"/>
    <w:rsid w:val="00D356FB"/>
    <w:rsid w:val="00D50170"/>
    <w:rsid w:val="00D6275F"/>
    <w:rsid w:val="00D95E17"/>
    <w:rsid w:val="00D973D5"/>
    <w:rsid w:val="00DA1544"/>
    <w:rsid w:val="00DD4E43"/>
    <w:rsid w:val="00DD523F"/>
    <w:rsid w:val="00DD5295"/>
    <w:rsid w:val="00DE1143"/>
    <w:rsid w:val="00E068EB"/>
    <w:rsid w:val="00E06B41"/>
    <w:rsid w:val="00E3412F"/>
    <w:rsid w:val="00E436A3"/>
    <w:rsid w:val="00E53264"/>
    <w:rsid w:val="00E53B98"/>
    <w:rsid w:val="00E6772B"/>
    <w:rsid w:val="00ED237D"/>
    <w:rsid w:val="00EE54D3"/>
    <w:rsid w:val="00F82057"/>
    <w:rsid w:val="00F83E56"/>
    <w:rsid w:val="00FB3DCF"/>
    <w:rsid w:val="00FB4A22"/>
    <w:rsid w:val="00FD62C4"/>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2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262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62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62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62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62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62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62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6288"/>
    <w:rPr>
      <w:rFonts w:eastAsiaTheme="majorEastAsia" w:cstheme="majorBidi"/>
      <w:color w:val="272727" w:themeColor="text1" w:themeTint="D8"/>
    </w:rPr>
  </w:style>
  <w:style w:type="paragraph" w:styleId="Titel">
    <w:name w:val="Title"/>
    <w:basedOn w:val="Standard"/>
    <w:next w:val="Standard"/>
    <w:link w:val="TitelZchn"/>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2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62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62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6288"/>
    <w:rPr>
      <w:i/>
      <w:iCs/>
      <w:color w:val="404040" w:themeColor="text1" w:themeTint="BF"/>
    </w:rPr>
  </w:style>
  <w:style w:type="paragraph" w:styleId="Listenabsatz">
    <w:name w:val="List Paragraph"/>
    <w:basedOn w:val="Standard"/>
    <w:uiPriority w:val="34"/>
    <w:qFormat/>
    <w:rsid w:val="00226288"/>
    <w:pPr>
      <w:ind w:left="720"/>
      <w:contextualSpacing/>
    </w:pPr>
  </w:style>
  <w:style w:type="character" w:styleId="IntensiveHervorhebung">
    <w:name w:val="Intense Emphasis"/>
    <w:basedOn w:val="Absatz-Standardschriftart"/>
    <w:uiPriority w:val="21"/>
    <w:qFormat/>
    <w:rsid w:val="00226288"/>
    <w:rPr>
      <w:i/>
      <w:iCs/>
      <w:color w:val="0F4761" w:themeColor="accent1" w:themeShade="BF"/>
    </w:rPr>
  </w:style>
  <w:style w:type="paragraph" w:styleId="IntensivesZitat">
    <w:name w:val="Intense Quote"/>
    <w:basedOn w:val="Standard"/>
    <w:next w:val="Standard"/>
    <w:link w:val="IntensivesZitatZchn"/>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6288"/>
    <w:rPr>
      <w:i/>
      <w:iCs/>
      <w:color w:val="0F4761" w:themeColor="accent1" w:themeShade="BF"/>
    </w:rPr>
  </w:style>
  <w:style w:type="character" w:styleId="IntensiverVerweis">
    <w:name w:val="Intense Reference"/>
    <w:basedOn w:val="Absatz-Standardschriftart"/>
    <w:uiPriority w:val="32"/>
    <w:qFormat/>
    <w:rsid w:val="00226288"/>
    <w:rPr>
      <w:b/>
      <w:bCs/>
      <w:smallCaps/>
      <w:color w:val="0F4761" w:themeColor="accent1" w:themeShade="BF"/>
      <w:spacing w:val="5"/>
    </w:rPr>
  </w:style>
  <w:style w:type="paragraph" w:styleId="Kopfzeile">
    <w:name w:val="header"/>
    <w:basedOn w:val="Standard"/>
    <w:link w:val="KopfzeileZchn"/>
    <w:uiPriority w:val="99"/>
    <w:unhideWhenUsed/>
    <w:rsid w:val="00BE2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CB5"/>
  </w:style>
  <w:style w:type="paragraph" w:styleId="Fuzeile">
    <w:name w:val="footer"/>
    <w:basedOn w:val="Standard"/>
    <w:link w:val="FuzeileZchn"/>
    <w:uiPriority w:val="99"/>
    <w:unhideWhenUsed/>
    <w:rsid w:val="00BE2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CB5"/>
  </w:style>
  <w:style w:type="character" w:styleId="Platzhaltertext">
    <w:name w:val="Placeholder Text"/>
    <w:basedOn w:val="Absatz-Standardschriftart"/>
    <w:uiPriority w:val="99"/>
    <w:semiHidden/>
    <w:rsid w:val="00663F3D"/>
    <w:rPr>
      <w:color w:val="666666"/>
    </w:rPr>
  </w:style>
  <w:style w:type="character" w:styleId="Fett">
    <w:name w:val="Strong"/>
    <w:basedOn w:val="Absatz-Standardschriftart"/>
    <w:uiPriority w:val="22"/>
    <w:qFormat/>
    <w:rsid w:val="00663F3D"/>
    <w:rPr>
      <w:b/>
      <w:bCs/>
    </w:rPr>
  </w:style>
  <w:style w:type="paragraph" w:styleId="Funotentext">
    <w:name w:val="footnote text"/>
    <w:basedOn w:val="Standard"/>
    <w:link w:val="FunotentextZchn"/>
    <w:uiPriority w:val="99"/>
    <w:semiHidden/>
    <w:unhideWhenUsed/>
    <w:rsid w:val="00E4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36A3"/>
    <w:rPr>
      <w:sz w:val="20"/>
      <w:szCs w:val="20"/>
    </w:rPr>
  </w:style>
  <w:style w:type="character" w:styleId="Funotenzeichen">
    <w:name w:val="footnote reference"/>
    <w:basedOn w:val="Absatz-Standardschriftart"/>
    <w:uiPriority w:val="99"/>
    <w:semiHidden/>
    <w:unhideWhenUsed/>
    <w:rsid w:val="00E43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2503</Words>
  <Characters>12991</Characters>
  <Application>Microsoft Office Word</Application>
  <DocSecurity>0</DocSecurity>
  <Lines>499</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82</cp:revision>
  <dcterms:created xsi:type="dcterms:W3CDTF">2024-04-20T12:49:00Z</dcterms:created>
  <dcterms:modified xsi:type="dcterms:W3CDTF">2024-04-24T15:25:00Z</dcterms:modified>
</cp:coreProperties>
</file>