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2272" w14:textId="285F3CCF" w:rsidR="00D6275F" w:rsidRPr="00665385" w:rsidRDefault="00665385">
      <w:pPr>
        <w:rPr>
          <w:lang w:val="en-US"/>
        </w:rPr>
      </w:pPr>
      <w:r w:rsidRPr="00665385">
        <w:rPr>
          <w:lang w:val="en-US"/>
        </w:rPr>
        <w:t>Uncertainty from „randomness of individual p</w:t>
      </w:r>
      <w:r>
        <w:rPr>
          <w:lang w:val="en-US"/>
        </w:rPr>
        <w:t>urchasing behavior and customer heterogeneity”</w:t>
      </w:r>
    </w:p>
    <w:sectPr w:rsidR="00D6275F" w:rsidRPr="00665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AB"/>
    <w:rsid w:val="00665385"/>
    <w:rsid w:val="00D6275F"/>
    <w:rsid w:val="00E154AB"/>
    <w:rsid w:val="00F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A4EA"/>
  <w15:chartTrackingRefBased/>
  <w15:docId w15:val="{3F28A0CA-2C3B-4ECA-BD41-3397015E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1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1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54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54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54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54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54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54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54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54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54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54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2024-03-29T11:05:00Z</dcterms:created>
  <dcterms:modified xsi:type="dcterms:W3CDTF">2024-03-29T12:50:00Z</dcterms:modified>
</cp:coreProperties>
</file>