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9C9C" w14:textId="674E80A7" w:rsidR="00D6275F" w:rsidRDefault="005F63DE">
      <w:r w:rsidRPr="005F63DE">
        <w:drawing>
          <wp:inline distT="0" distB="0" distL="0" distR="0" wp14:anchorId="49AA7B2E" wp14:editId="0A2CE632">
            <wp:extent cx="5760720" cy="3596640"/>
            <wp:effectExtent l="0" t="0" r="0" b="3810"/>
            <wp:docPr id="133770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4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4BEE" w14:textId="72AE0071" w:rsidR="005F63DE" w:rsidRDefault="005F63DE" w:rsidP="005F63DE">
      <w:pPr>
        <w:jc w:val="center"/>
      </w:pPr>
      <w:r>
        <w:t>REndo: Internal Instrumental Variables to Address Endogeneity</w:t>
      </w:r>
    </w:p>
    <w:p w14:paraId="37545248" w14:textId="1438434D" w:rsidR="00131E1B" w:rsidRPr="005F63DE" w:rsidRDefault="00131E1B" w:rsidP="005F63DE">
      <w:pPr>
        <w:jc w:val="center"/>
      </w:pPr>
      <w:r w:rsidRPr="00131E1B">
        <w:drawing>
          <wp:inline distT="0" distB="0" distL="0" distR="0" wp14:anchorId="4D7AA827" wp14:editId="123F07B5">
            <wp:extent cx="5760720" cy="4072890"/>
            <wp:effectExtent l="0" t="0" r="0" b="3810"/>
            <wp:docPr id="213758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86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E1B" w:rsidRPr="005F63DE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2C"/>
    <w:rsid w:val="00131E1B"/>
    <w:rsid w:val="005F63DE"/>
    <w:rsid w:val="006E3C82"/>
    <w:rsid w:val="006F1C2C"/>
    <w:rsid w:val="007E300E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0C85"/>
  <w15:chartTrackingRefBased/>
  <w15:docId w15:val="{219BF6B4-A6C8-4CD9-9343-21B79F88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2024-06-03T17:38:00Z</dcterms:created>
  <dcterms:modified xsi:type="dcterms:W3CDTF">2024-06-03T17:54:00Z</dcterms:modified>
</cp:coreProperties>
</file>