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3799A" w14:textId="77777777" w:rsidR="005F2D07" w:rsidRPr="00CB0893" w:rsidRDefault="00000000">
      <w:pPr>
        <w:pStyle w:val="Title"/>
        <w:rPr>
          <w:sz w:val="32"/>
          <w:szCs w:val="32"/>
        </w:rPr>
      </w:pPr>
      <w:r w:rsidRPr="00CB0893">
        <w:rPr>
          <w:sz w:val="32"/>
          <w:szCs w:val="32"/>
        </w:rPr>
        <w:t>AI6124 Assignment 2</w:t>
      </w:r>
      <w:r w:rsidRPr="00CB0893">
        <w:rPr>
          <w:sz w:val="32"/>
          <w:szCs w:val="32"/>
        </w:rPr>
        <w:br/>
        <w:t>Cancer-versus-Non-Cancer Classification with ROC and Equal-Error-Rate Analysis</w:t>
      </w:r>
    </w:p>
    <w:p w14:paraId="74ECD2AC" w14:textId="3630B773" w:rsidR="005F2D07" w:rsidRDefault="00196EA2">
      <w:pPr>
        <w:pStyle w:val="Author"/>
        <w:rPr>
          <w:rFonts w:hint="eastAsia"/>
        </w:rPr>
      </w:pPr>
      <w:r>
        <w:rPr>
          <w:rFonts w:hint="eastAsia"/>
        </w:rPr>
        <w:t xml:space="preserve">Hanny   </w:t>
      </w:r>
      <w:r w:rsidR="00840336">
        <w:t>|</w:t>
      </w:r>
      <w:r w:rsidR="00C62BB5">
        <w:rPr>
          <w:rFonts w:hint="eastAsia"/>
        </w:rPr>
        <w:t xml:space="preserve">  </w:t>
      </w:r>
      <w:r w:rsidR="00840336">
        <w:t xml:space="preserve"> Matric Number: G</w:t>
      </w:r>
      <w:r>
        <w:rPr>
          <w:rFonts w:hint="eastAsia"/>
        </w:rPr>
        <w:t>12345678X</w:t>
      </w:r>
    </w:p>
    <w:p w14:paraId="0B151347" w14:textId="77777777" w:rsidR="005F2D07" w:rsidRDefault="00000000">
      <w:pPr>
        <w:pStyle w:val="AbstractTitle"/>
      </w:pPr>
      <w:r>
        <w:t>Abstract</w:t>
      </w:r>
    </w:p>
    <w:p w14:paraId="429135CD" w14:textId="77777777" w:rsidR="005F2D07" w:rsidRDefault="00000000">
      <w:pPr>
        <w:pStyle w:val="Abstract"/>
      </w:pPr>
      <w:r>
        <w:t xml:space="preserve">This report evaluates supervised cancer screening on the NUH ovarian blood-assay data, with the Wisconsin Diagnostic Breast Cancer (WDBC) data as a lower-variance check. Eight representative classifiers are compared using test receiver operating characteristic (ROC) curves and repeated cross-validation. The main NUH target treats borderline tumours as screening-positive together with invasive cancers, because a false negative is the less acceptable error in this screening context; this convention is tested explicitly rather than presented as an unambiguous pathological label. Selecting on training out-of-fold (OOF) scores alone, random forest is chosen (OOF AUC </w:t>
      </w:r>
      <m:oMath>
        <m:r>
          <w:rPr>
            <w:rFonts w:ascii="Cambria Math" w:hAnsi="Cambria Math"/>
          </w:rPr>
          <m:t>0.812</m:t>
        </m:r>
      </m:oMath>
      <w:r>
        <w:t xml:space="preserve">, OOF equal error rate (EER) </w:t>
      </w:r>
      <m:oMath>
        <m:r>
          <w:rPr>
            <w:rFonts w:ascii="Cambria Math" w:hAnsi="Cambria Math"/>
          </w:rPr>
          <m:t>0.236</m:t>
        </m:r>
      </m:oMath>
      <w:r>
        <w:t xml:space="preserve">); its OOF threshold of </w:t>
      </w:r>
      <m:oMath>
        <m:r>
          <w:rPr>
            <w:rFonts w:ascii="Cambria Math" w:hAnsi="Cambria Math"/>
          </w:rPr>
          <m:t>0.484</m:t>
        </m:r>
      </m:oMath>
      <w:r>
        <w:t xml:space="preserve"> then yields test FPR/FNR of </w:t>
      </w:r>
      <m:oMath>
        <m:r>
          <w:rPr>
            <w:rFonts w:ascii="Cambria Math" w:hAnsi="Cambria Math"/>
          </w:rPr>
          <m:t>0.214</m:t>
        </m:r>
        <m:r>
          <m:rPr>
            <m:sty m:val="p"/>
          </m:rPr>
          <w:rPr>
            <w:rFonts w:ascii="Cambria Math" w:hAnsi="Cambria Math"/>
          </w:rPr>
          <m:t>/</m:t>
        </m:r>
        <m:r>
          <w:rPr>
            <w:rFonts w:ascii="Cambria Math" w:hAnsi="Cambria Math"/>
          </w:rPr>
          <m:t>0.231</m:t>
        </m:r>
      </m:oMath>
      <w:r>
        <w:t xml:space="preserve"> on the untouched test split. A pooled repeated cross-validation over all cases, reported separately as a stability summary rather than a held-out estimate, ranks the same model first (AUC </w:t>
      </w:r>
      <m:oMath>
        <m:r>
          <w:rPr>
            <w:rFonts w:ascii="Cambria Math" w:hAnsi="Cambria Math"/>
          </w:rPr>
          <m:t>0.845</m:t>
        </m:r>
      </m:oMath>
      <w:r>
        <w:t xml:space="preserve">, EER </w:t>
      </w:r>
      <m:oMath>
        <m:r>
          <w:rPr>
            <w:rFonts w:ascii="Cambria Math" w:hAnsi="Cambria Math"/>
          </w:rPr>
          <m:t>0.245</m:t>
        </m:r>
      </m:oMath>
      <w:r>
        <w:t xml:space="preserve">). Reassigning or excluding borderline cases changes the random-forest CV EER to approximately </w:t>
      </w:r>
      <m:oMath>
        <m:r>
          <w:rPr>
            <w:rFonts w:ascii="Cambria Math" w:hAnsi="Cambria Math"/>
          </w:rPr>
          <m:t>0.20</m:t>
        </m:r>
      </m:oMath>
      <w:r>
        <w:t xml:space="preserve">, demonstrating material label-policy sensitivity. WDBC results are near saturation (test AUC </w:t>
      </w:r>
      <m:oMath>
        <m:r>
          <w:rPr>
            <w:rFonts w:ascii="Cambria Math" w:hAnsi="Cambria Math"/>
          </w:rPr>
          <m:t>0.977</m:t>
        </m:r>
      </m:oMath>
      <w:r>
        <w:t>–</w:t>
      </w:r>
      <m:oMath>
        <m:r>
          <w:rPr>
            <w:rFonts w:ascii="Cambria Math" w:hAnsi="Cambria Math"/>
          </w:rPr>
          <m:t>0.997</m:t>
        </m:r>
      </m:oMath>
      <w:r>
        <w:t>), confirming the implementation on a well-conditioned data set.</w:t>
      </w:r>
    </w:p>
    <w:p w14:paraId="57C9DD5A" w14:textId="77777777" w:rsidR="005F2D07" w:rsidRDefault="00000000">
      <w:pPr>
        <w:pStyle w:val="Heading1"/>
      </w:pPr>
      <w:bookmarkStart w:id="0" w:name="task-and-decision-criterion"/>
      <w:r>
        <w:rPr>
          <w:rStyle w:val="SectionNumber"/>
        </w:rPr>
        <w:t>1</w:t>
      </w:r>
      <w:r>
        <w:tab/>
        <w:t>Task and decision criterion</w:t>
      </w:r>
    </w:p>
    <w:p w14:paraId="763DA467" w14:textId="77777777" w:rsidR="005F2D07" w:rsidRDefault="00000000">
      <w:pPr>
        <w:pStyle w:val="FirstParagraph"/>
      </w:pPr>
      <w:r>
        <w:t xml:space="preserve">The task is to learn a binary supervised decision tool, determine the boundary that best balances false positives and false negatives, and plot the ROC curve obtained by varying that boundary. Each model returns a score </w:t>
      </w:r>
      <m:oMath>
        <m:r>
          <w:rPr>
            <w:rFonts w:ascii="Cambria Math" w:hAnsi="Cambria Math"/>
          </w:rPr>
          <m:t>s</m:t>
        </m:r>
        <m:r>
          <m:rPr>
            <m:sty m:val="p"/>
          </m:rPr>
          <w:rPr>
            <w:rFonts w:ascii="Cambria Math" w:hAnsi="Cambria Math"/>
          </w:rPr>
          <m:t>(</m:t>
        </m:r>
        <m:r>
          <m:rPr>
            <m:sty m:val="bi"/>
          </m:rPr>
          <w:rPr>
            <w:rFonts w:ascii="Cambria Math" w:hAnsi="Cambria Math"/>
          </w:rPr>
          <m:t>x</m:t>
        </m:r>
        <m:r>
          <m:rPr>
            <m:sty m:val="p"/>
          </m:rPr>
          <w:rPr>
            <w:rFonts w:ascii="Cambria Math" w:hAnsi="Cambria Math"/>
          </w:rPr>
          <m:t>)</m:t>
        </m:r>
      </m:oMath>
      <w:r>
        <w:t xml:space="preserve"> and predicts the positive class when </w:t>
      </w:r>
      <m:oMath>
        <m:r>
          <w:rPr>
            <w:rFonts w:ascii="Cambria Math" w:hAnsi="Cambria Math"/>
          </w:rPr>
          <m:t>s</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θ</m:t>
        </m:r>
      </m:oMath>
      <w:r>
        <w:t xml:space="preserve">. The scalar </w:t>
      </w:r>
      <w:r>
        <w:rPr>
          <w:i/>
          <w:iCs/>
        </w:rPr>
        <w:t>threshold</w:t>
      </w:r>
      <w:r>
        <w:t xml:space="preserve"> </w:t>
      </w:r>
      <m:oMath>
        <m:r>
          <w:rPr>
            <w:rFonts w:ascii="Cambria Math" w:hAnsi="Cambria Math"/>
          </w:rPr>
          <m:t>θ</m:t>
        </m:r>
      </m:oMath>
      <w:r>
        <w:t xml:space="preserve"> induces the feature-space </w:t>
      </w:r>
      <w:r>
        <w:rPr>
          <w:i/>
          <w:iCs/>
        </w:rPr>
        <w:t>decision boundary</w:t>
      </w:r>
      <w:r>
        <w:t xml:space="preserve"> </w:t>
      </w:r>
      <m:oMath>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θ</m:t>
        </m:r>
        <m:r>
          <m:rPr>
            <m:sty m:val="p"/>
          </m:rPr>
          <w:rPr>
            <w:rFonts w:ascii="Cambria Math" w:hAnsi="Cambria Math"/>
          </w:rPr>
          <m:t>}</m:t>
        </m:r>
      </m:oMath>
      <w:r>
        <w:t>.</w:t>
      </w:r>
    </w:p>
    <w:p w14:paraId="35D8F409" w14:textId="77777777" w:rsidR="005F2D07" w:rsidRDefault="00000000">
      <w:pPr>
        <w:pStyle w:val="BodyText"/>
      </w:pPr>
      <w:r>
        <w:t xml:space="preserve">Sweeping </w:t>
      </w:r>
      <m:oMath>
        <m:r>
          <w:rPr>
            <w:rFonts w:ascii="Cambria Math" w:hAnsi="Cambria Math"/>
          </w:rPr>
          <m:t>θ</m:t>
        </m:r>
      </m:oMath>
      <w:r>
        <w:t xml:space="preserve"> traces the ROC curve, with false-positive rate </w:t>
      </w:r>
      <m:oMath>
        <m:r>
          <m:rPr>
            <m:sty m:val="p"/>
          </m:rPr>
          <w:rPr>
            <w:rFonts w:ascii="Cambria Math" w:hAnsi="Cambria Math"/>
          </w:rPr>
          <m:t>FPR(</m:t>
        </m:r>
        <m:r>
          <w:rPr>
            <w:rFonts w:ascii="Cambria Math" w:hAnsi="Cambria Math"/>
          </w:rPr>
          <m:t>θ</m:t>
        </m:r>
        <m:r>
          <m:rPr>
            <m:sty m:val="p"/>
          </m:rPr>
          <w:rPr>
            <w:rFonts w:ascii="Cambria Math" w:hAnsi="Cambria Math"/>
          </w:rPr>
          <m:t>)</m:t>
        </m:r>
      </m:oMath>
      <w:r>
        <w:t xml:space="preserve"> and true-positive rate </w:t>
      </w:r>
      <m:oMath>
        <m:r>
          <m:rPr>
            <m:sty m:val="p"/>
          </m:rPr>
          <w:rPr>
            <w:rFonts w:ascii="Cambria Math" w:hAnsi="Cambria Math"/>
          </w:rPr>
          <m:t>TPR(</m:t>
        </m:r>
        <m:r>
          <w:rPr>
            <w:rFonts w:ascii="Cambria Math" w:hAnsi="Cambria Math"/>
          </w:rPr>
          <m:t>θ</m:t>
        </m:r>
        <m:r>
          <m:rPr>
            <m:sty m:val="p"/>
          </m:rPr>
          <w:rPr>
            <w:rFonts w:ascii="Cambria Math" w:hAnsi="Cambria Math"/>
          </w:rPr>
          <m:t>)</m:t>
        </m:r>
      </m:oMath>
      <w:r>
        <w:t xml:space="preserve">. The false-negative rate is </w:t>
      </w:r>
      <m:oMath>
        <m:r>
          <m:rPr>
            <m:sty m:val="p"/>
          </m:rPr>
          <w:rPr>
            <w:rFonts w:ascii="Cambria Math" w:hAnsi="Cambria Math"/>
          </w:rPr>
          <m:t>FNR=</m:t>
        </m:r>
        <m:r>
          <w:rPr>
            <w:rFonts w:ascii="Cambria Math" w:hAnsi="Cambria Math"/>
          </w:rPr>
          <m:t>1</m:t>
        </m:r>
        <m:r>
          <m:rPr>
            <m:sty m:val="p"/>
          </m:rPr>
          <w:rPr>
            <w:rFonts w:ascii="Cambria Math" w:hAnsi="Cambria Math"/>
          </w:rPr>
          <m:t>-TPR</m:t>
        </m:r>
      </m:oMath>
      <w:r>
        <w:t xml:space="preserve">, and the equal error rate is the intersection with </w:t>
      </w:r>
      <m:oMath>
        <m:r>
          <m:rPr>
            <m:sty m:val="p"/>
          </m:rPr>
          <w:rPr>
            <w:rFonts w:ascii="Cambria Math" w:hAnsi="Cambria Math"/>
          </w:rPr>
          <m:t>FPR=FNR</m:t>
        </m:r>
      </m:oMath>
      <w:r>
        <w:t>. Area under the ROC curve (AUC) measures ranking performance independently of a single threshold.</w:t>
      </w:r>
    </w:p>
    <w:p w14:paraId="5F16D768" w14:textId="77777777" w:rsidR="005F2D07" w:rsidRDefault="00000000">
      <w:pPr>
        <w:pStyle w:val="BodyText"/>
      </w:pPr>
      <w:r>
        <w:t xml:space="preserve">An empirical ROC curve is stepwise. I report an interpolated EER, marked by an asterisk in the tables, but do not imply that its exact intersection is always attainable by one deterministic threshold. The deployable threshold is selected separately from training out-of-fold (OOF) scores as the empirical ROC threshold that minimises </w:t>
      </w:r>
      <m:oMath>
        <m:r>
          <m:rPr>
            <m:sty m:val="p"/>
          </m:rPr>
          <w:rPr>
            <w:rFonts w:ascii="Cambria Math" w:hAnsi="Cambria Math"/>
          </w:rPr>
          <m:t>|FPR-FNR|</m:t>
        </m:r>
      </m:oMath>
      <w:r>
        <w:t>, using the lower balanced error as a tie-breaker. Test-set EERs are descriptive only and are not used for model or threshold selection.</w:t>
      </w:r>
    </w:p>
    <w:p w14:paraId="0A529E54" w14:textId="77777777" w:rsidR="005F2D07" w:rsidRDefault="00000000">
      <w:pPr>
        <w:pStyle w:val="Heading1"/>
      </w:pPr>
      <w:bookmarkStart w:id="1" w:name="data"/>
      <w:bookmarkEnd w:id="0"/>
      <w:r>
        <w:rPr>
          <w:rStyle w:val="SectionNumber"/>
        </w:rPr>
        <w:t>2</w:t>
      </w:r>
      <w:r>
        <w:tab/>
        <w:t>Data</w:t>
      </w:r>
    </w:p>
    <w:p w14:paraId="1E90C56C" w14:textId="77777777" w:rsidR="005F2D07" w:rsidRDefault="00000000">
      <w:pPr>
        <w:pStyle w:val="Heading2"/>
      </w:pPr>
      <w:bookmarkStart w:id="2" w:name="nuh-ovarian-blood-assays"/>
      <w:r>
        <w:rPr>
          <w:rStyle w:val="SectionNumber"/>
        </w:rPr>
        <w:t>2.1</w:t>
      </w:r>
      <w:r>
        <w:tab/>
        <w:t>NUH ovarian blood assays</w:t>
      </w:r>
    </w:p>
    <w:p w14:paraId="32F28FF6" w14:textId="77777777" w:rsidR="005F2D07" w:rsidRDefault="00000000">
      <w:pPr>
        <w:pStyle w:val="FirstParagraph"/>
      </w:pPr>
      <w:r>
        <w:t xml:space="preserve">The NUH data accompany the ovarian-cancer study of Tan </w:t>
      </w:r>
      <w:r>
        <w:rPr>
          <w:i/>
          <w:iCs/>
        </w:rPr>
        <w:t>et al.</w:t>
      </w:r>
      <w:r>
        <w:t xml:space="preserve"> [1]. The supplied group </w:t>
      </w:r>
      <w:r>
        <w:rPr>
          <w:rStyle w:val="VerbatimChar"/>
        </w:rPr>
        <w:t>g2</w:t>
      </w:r>
      <w:r>
        <w:t xml:space="preserve"> files contain 28 blood-assay features. Inspection shows that </w:t>
      </w:r>
      <w:r>
        <w:rPr>
          <w:rStyle w:val="VerbatimChar"/>
        </w:rPr>
        <w:t>c1</w:t>
      </w:r>
      <w:r>
        <w:t>–</w:t>
      </w:r>
      <w:r>
        <w:rPr>
          <w:rStyle w:val="VerbatimChar"/>
        </w:rPr>
        <w:t>c4</w:t>
      </w:r>
      <w:r>
        <w:t xml:space="preserve"> are one-vs-rest labels of the same patients rather than cross-validation folds: borderline, benign/normal, Stage I–II, and Stage III–IV, respectively. Three borderline test rows duplicate training rows and are removed, leaving 55 training cases and 54 test cases. Across the retained data there are 5 borderline, 56 benign/normal, 14 Stage I–II, and 34 Stage III–IV cases.</w:t>
      </w:r>
    </w:p>
    <w:p w14:paraId="1E898E09" w14:textId="77777777" w:rsidR="005F2D07" w:rsidRDefault="00000000">
      <w:pPr>
        <w:pStyle w:val="BodyText"/>
      </w:pPr>
      <w:r>
        <w:lastRenderedPageBreak/>
        <w:t xml:space="preserve">The main screening target is </w:t>
      </w:r>
      <w:r>
        <w:rPr>
          <w:b/>
          <w:bCs/>
        </w:rPr>
        <w:t xml:space="preserve">positive = borderline </w:t>
      </w:r>
      <m:oMath>
        <m:r>
          <m:rPr>
            <m:sty m:val="p"/>
          </m:rPr>
          <w:rPr>
            <w:rFonts w:ascii="Cambria Math" w:hAnsi="Cambria Math"/>
          </w:rPr>
          <m:t>∪</m:t>
        </m:r>
      </m:oMath>
      <w:r>
        <w:rPr>
          <w:b/>
          <w:bCs/>
        </w:rPr>
        <w:t xml:space="preserve"> Stage I–IV</w:t>
      </w:r>
      <w:r>
        <w:t xml:space="preserve"> and </w:t>
      </w:r>
      <w:r>
        <w:rPr>
          <w:b/>
          <w:bCs/>
        </w:rPr>
        <w:t>negative = benign/normal</w:t>
      </w:r>
      <w:r>
        <w:t>, giving 53 positive and 56 negative cases. Borderline ovarian tumours are not synonymous with invasive malignancy; grouping them with the positive class is a conservative screening decision intended to avoid a potentially consequential false negative. Section 5.2 reports how the results change when borderline cases are excluded or assigned to the negative class.</w:t>
      </w:r>
    </w:p>
    <w:p w14:paraId="1E1AB58E" w14:textId="77777777" w:rsidR="005F2D07" w:rsidRDefault="00000000">
      <w:pPr>
        <w:pStyle w:val="BodyText"/>
      </w:pPr>
      <w:r>
        <w:t xml:space="preserve">Feature identities cannot be mapped reliably because the file column order does not match the source paper; they are therefore denoted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28</m:t>
            </m:r>
          </m:sub>
        </m:sSub>
      </m:oMath>
      <w:r>
        <w:t xml:space="preserve">. On the training set, </w:t>
      </w:r>
      <m:oMath>
        <m:sSub>
          <m:sSubPr>
            <m:ctrlPr>
              <w:rPr>
                <w:rFonts w:ascii="Cambria Math" w:hAnsi="Cambria Math"/>
              </w:rPr>
            </m:ctrlPr>
          </m:sSubPr>
          <m:e>
            <m:r>
              <w:rPr>
                <w:rFonts w:ascii="Cambria Math" w:hAnsi="Cambria Math"/>
              </w:rPr>
              <m:t>f</m:t>
            </m:r>
          </m:e>
          <m:sub>
            <m:r>
              <w:rPr>
                <w:rFonts w:ascii="Cambria Math" w:hAnsi="Cambria Math"/>
              </w:rPr>
              <m:t>23</m:t>
            </m:r>
          </m:sub>
        </m:sSub>
      </m:oMath>
      <w:r>
        <w:t xml:space="preserve">, </w:t>
      </w:r>
      <m:oMath>
        <m:sSub>
          <m:sSubPr>
            <m:ctrlPr>
              <w:rPr>
                <w:rFonts w:ascii="Cambria Math" w:hAnsi="Cambria Math"/>
              </w:rPr>
            </m:ctrlPr>
          </m:sSubPr>
          <m:e>
            <m:r>
              <w:rPr>
                <w:rFonts w:ascii="Cambria Math" w:hAnsi="Cambria Math"/>
              </w:rPr>
              <m:t>f</m:t>
            </m:r>
          </m:e>
          <m:sub>
            <m:r>
              <w:rPr>
                <w:rFonts w:ascii="Cambria Math" w:hAnsi="Cambria Math"/>
              </w:rPr>
              <m:t>24</m:t>
            </m:r>
          </m:sub>
        </m:sSub>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28</m:t>
            </m:r>
          </m:sub>
        </m:sSub>
      </m:oMath>
      <w:r>
        <w:t xml:space="preserve"> have maximum-to-median ratios above 20. These columns are transformed by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before standardisation; the transformation and scaler are fitted inside each training fold.</w:t>
      </w:r>
    </w:p>
    <w:p w14:paraId="01B3CA9A" w14:textId="77777777" w:rsidR="005F2D07" w:rsidRDefault="00000000">
      <w:pPr>
        <w:pStyle w:val="Heading2"/>
      </w:pPr>
      <w:bookmarkStart w:id="3" w:name="wisconsin-diagnostic-breast-cancer"/>
      <w:bookmarkEnd w:id="2"/>
      <w:r>
        <w:rPr>
          <w:rStyle w:val="SectionNumber"/>
        </w:rPr>
        <w:t>2.2</w:t>
      </w:r>
      <w:r>
        <w:tab/>
        <w:t>Wisconsin Diagnostic Breast Cancer</w:t>
      </w:r>
    </w:p>
    <w:p w14:paraId="69702A65" w14:textId="77777777" w:rsidR="005F2D07" w:rsidRDefault="00000000">
      <w:pPr>
        <w:pStyle w:val="FirstParagraph"/>
      </w:pPr>
      <w:r>
        <w:t>WDBC contains 569 fine-needle aspirates with 30 nuclear-morphology features, comprising 212 malignant and 357 benign cases [2, 3]. A stratified 80/20 split with seed 0 gives 455 training cases and 114 test cases. The data are close to linearly separable and are used as a sanity check rather than a second clinical claim.</w:t>
      </w:r>
    </w:p>
    <w:p w14:paraId="0F17443B" w14:textId="77777777" w:rsidR="005F2D07" w:rsidRDefault="00000000">
      <w:pPr>
        <w:pStyle w:val="Heading1"/>
      </w:pPr>
      <w:bookmarkStart w:id="4" w:name="models"/>
      <w:bookmarkEnd w:id="1"/>
      <w:bookmarkEnd w:id="3"/>
      <w:r>
        <w:rPr>
          <w:rStyle w:val="SectionNumber"/>
        </w:rPr>
        <w:t>3</w:t>
      </w:r>
      <w:r>
        <w:tab/>
        <w:t>Models</w:t>
      </w:r>
    </w:p>
    <w:p w14:paraId="0AA14642" w14:textId="77777777" w:rsidR="005F2D07" w:rsidRDefault="00000000">
      <w:pPr>
        <w:pStyle w:val="FirstParagraph"/>
      </w:pPr>
      <w:r>
        <w:t>Eleven models were implemented and run under the identical protocol; the eight reported here are a representative subset spanning the linear, kernel, ensemble, neural, fuzzy, and pre-trained families. The three omitted models (an extreme learning machine, a predictive-coding network, and a GA-trained MLP) are retained in the accompanying code and result files, and including them does not change the selected model on either data set.</w:t>
      </w:r>
    </w:p>
    <w:p w14:paraId="6810F5A4" w14:textId="77777777" w:rsidR="005F2D07" w:rsidRDefault="00000000">
      <w:pPr>
        <w:pStyle w:val="BodyText"/>
      </w:pPr>
      <w:r>
        <w:t>Logistic regression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w:t>
      </w:r>
      <m:oMath>
        <m:r>
          <w:rPr>
            <w:rFonts w:ascii="Cambria Math" w:hAnsi="Cambria Math"/>
          </w:rPr>
          <m:t>C</m:t>
        </m:r>
        <m:r>
          <m:rPr>
            <m:sty m:val="p"/>
          </m:rPr>
          <w:rPr>
            <w:rFonts w:ascii="Cambria Math" w:hAnsi="Cambria Math"/>
          </w:rPr>
          <m:t>=</m:t>
        </m:r>
        <m:r>
          <w:rPr>
            <w:rFonts w:ascii="Cambria Math" w:hAnsi="Cambria Math"/>
          </w:rPr>
          <m:t>1</m:t>
        </m:r>
      </m:oMath>
      <w:r>
        <w:t xml:space="preserve">), an RBF-SVM, and a 500-tree random forest provide linear, kernel, and ensemble baselines. The SVM selects </w:t>
      </w:r>
      <m:oMath>
        <m:r>
          <w:rPr>
            <w:rFonts w:ascii="Cambria Math" w:hAnsi="Cambria Math"/>
          </w:rPr>
          <m:t>C</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and </w:t>
      </w:r>
      <m:oMath>
        <m:r>
          <w:rPr>
            <w:rFonts w:ascii="Cambria Math" w:hAnsi="Cambria Math"/>
          </w:rPr>
          <m:t>γ</m:t>
        </m:r>
        <m:r>
          <m:rPr>
            <m:sty m:val="p"/>
          </m:rPr>
          <w:rPr>
            <w:rFonts w:ascii="Cambria Math" w:hAnsi="Cambria Math"/>
          </w:rPr>
          <m:t>∈{</m:t>
        </m:r>
        <m:r>
          <m:rPr>
            <m:nor/>
          </m:rPr>
          <m:t>scale</m:t>
        </m:r>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0.1</m:t>
        </m:r>
        <m:r>
          <m:rPr>
            <m:sty m:val="p"/>
          </m:rPr>
          <w:rPr>
            <w:rFonts w:ascii="Cambria Math" w:hAnsi="Cambria Math"/>
          </w:rPr>
          <m:t>}</m:t>
        </m:r>
      </m:oMath>
      <w:r>
        <w:t xml:space="preserve"> by inner five-fold AUC.</w:t>
      </w:r>
    </w:p>
    <w:p w14:paraId="6DAC8019" w14:textId="77777777" w:rsidR="005F2D07" w:rsidRDefault="00000000">
      <w:pPr>
        <w:pStyle w:val="BodyText"/>
      </w:pPr>
      <w:r>
        <w:t xml:space="preserve">A </w:t>
      </w:r>
      <m:oMath>
        <m:r>
          <w:rPr>
            <w:rFonts w:ascii="Cambria Math" w:hAnsi="Cambria Math"/>
          </w:rPr>
          <m:t>d</m:t>
        </m:r>
      </m:oMath>
      <w:r>
        <w:t xml:space="preserve">-64-32-1 multilayer perceptron (MLP) with </w:t>
      </w:r>
      <m:oMath>
        <m:r>
          <m:rPr>
            <m:sty m:val="p"/>
          </m:rPr>
          <w:rPr>
            <w:rFonts w:ascii="Cambria Math" w:hAnsi="Cambria Math"/>
          </w:rPr>
          <m:t>tanh</m:t>
        </m:r>
      </m:oMath>
      <w:r>
        <w:t xml:space="preserve"> hidden units is trained for 300 full-batch epochs using Adam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weight decay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Two alternatives retain comparable hidden widths while changing the learning mechanism: Forward-Forward uses label-embedded positive and negative examples with layer-local goodness objectives [4], whereas separable CMA-ES optimises the MLP parameters without gradients (population 32, 300 generations) [5]. These methods are retained as compact course-relevant comparisons; no statistical non-inferiority claim is made from their point estimates.</w:t>
      </w:r>
    </w:p>
    <w:p w14:paraId="0DBB3207" w14:textId="77777777" w:rsidR="005F2D07" w:rsidRDefault="00000000">
      <w:pPr>
        <w:pStyle w:val="BodyText"/>
      </w:pPr>
      <w:r>
        <w:t xml:space="preserve">The fuzzy model is a four-rule first-order Takagi–Sugeno ANFIS with Gaussian membership functions and scatter-partition initialisation [6]. TabPFN v3 (package version 8.4.0) [8] is included as a strong pre-trained tabular reference; it performs in-context prediction without task-specific gradient training, following the prior-fitted-network formulation introduced by Hollmann </w:t>
      </w:r>
      <w:r>
        <w:rPr>
          <w:i/>
          <w:iCs/>
        </w:rPr>
        <w:t>et al.</w:t>
      </w:r>
      <w:r>
        <w:t xml:space="preserve"> [7]. It should not be interpreted as a performance ceiling, and its licence-gated checkpoint is less reproducible than the locally trained models.</w:t>
      </w:r>
    </w:p>
    <w:p w14:paraId="617ADC3B" w14:textId="77777777" w:rsidR="005F2D07" w:rsidRDefault="00000000">
      <w:pPr>
        <w:pStyle w:val="Heading1"/>
      </w:pPr>
      <w:bookmarkStart w:id="5" w:name="evaluation-protocol"/>
      <w:bookmarkEnd w:id="4"/>
      <w:r>
        <w:rPr>
          <w:rStyle w:val="SectionNumber"/>
        </w:rPr>
        <w:lastRenderedPageBreak/>
        <w:t>4</w:t>
      </w:r>
      <w:r>
        <w:tab/>
        <w:t>Evaluation protocol</w:t>
      </w:r>
    </w:p>
    <w:p w14:paraId="415FAB49" w14:textId="77777777" w:rsidR="005F2D07" w:rsidRDefault="00000000">
      <w:pPr>
        <w:pStyle w:val="FirstParagraph"/>
      </w:pPr>
      <w:r>
        <w:t xml:space="preserve">Every decision is made on training data, and the test split is used once, only to report. Concretely, for the given NUH and WDBC splits, preprocessing is fitted on training data only, and five-fold CV </w:t>
      </w:r>
      <w:r>
        <w:rPr>
          <w:i/>
          <w:iCs/>
        </w:rPr>
        <w:t>within the training set</w:t>
      </w:r>
      <w:r>
        <w:t xml:space="preserve"> produces OOF scores. Both the choice of model and the choice of threshold are made from those training-OOF scores. The model is then refitted on the complete training set and evaluated once on the test set; the test AUC, interpolated test EER, and the operating point of the selected model are reported afterwards and feed back into nothing.</w:t>
      </w:r>
    </w:p>
    <w:p w14:paraId="0E3ADFEC" w14:textId="77777777" w:rsidR="005F2D07" w:rsidRDefault="00000000">
      <w:pPr>
        <w:pStyle w:val="BodyText"/>
      </w:pPr>
      <w:r>
        <w:t xml:space="preserve">A separate, purely descriptive summary is also reported. A 54-case test split makes any single estimate volatile, so all cases are additionally evaluated by </w:t>
      </w:r>
      <m:oMath>
        <m:r>
          <w:rPr>
            <w:rFonts w:ascii="Cambria Math" w:hAnsi="Cambria Math"/>
          </w:rPr>
          <m:t>5</m:t>
        </m:r>
        <m:r>
          <m:rPr>
            <m:sty m:val="p"/>
          </m:rPr>
          <w:rPr>
            <w:rFonts w:ascii="Cambria Math" w:hAnsi="Cambria Math"/>
          </w:rPr>
          <m:t>×</m:t>
        </m:r>
      </m:oMath>
      <w:r>
        <w:t xml:space="preserve"> repeated stratified five-fold CV (25 fits per model), with the preprocessing refitted inside each fold. These pooled CV columns are computed over the whole cohort and therefore </w:t>
      </w:r>
      <w:r>
        <w:rPr>
          <w:i/>
          <w:iCs/>
        </w:rPr>
        <w:t>include the test cases</w:t>
      </w:r>
      <w:r>
        <w:t>; they are a resampling summary of how stable a model is across partitions of the available data, not a held-out estimate, and they are not used to select the model, the threshold, or the label policy. Where the pooled ranking is quoted below it is descriptive only, and the selection it would imply is stated separately.</w:t>
      </w:r>
    </w:p>
    <w:p w14:paraId="03AD1065" w14:textId="77777777" w:rsidR="005F2D07" w:rsidRDefault="00000000">
      <w:pPr>
        <w:pStyle w:val="BodyText"/>
      </w:pPr>
      <w:r>
        <w:t xml:space="preserve">All experiments use seed 0 on CPU. The reproduced environment is Python 3.13.5, scikit-learn 1.9.0, PyTorch 2.13.0, </w:t>
      </w:r>
      <w:r>
        <w:rPr>
          <w:rStyle w:val="VerbatimChar"/>
        </w:rPr>
        <w:t>cma</w:t>
      </w:r>
      <w:r>
        <w:t xml:space="preserve"> 4.4.4, and TabPFN 8.4.0.</w:t>
      </w:r>
    </w:p>
    <w:p w14:paraId="215A93E3" w14:textId="77777777" w:rsidR="005F2D07" w:rsidRDefault="00000000">
      <w:pPr>
        <w:pStyle w:val="Heading1"/>
      </w:pPr>
      <w:bookmarkStart w:id="6" w:name="results"/>
      <w:bookmarkEnd w:id="5"/>
      <w:r>
        <w:rPr>
          <w:rStyle w:val="SectionNumber"/>
        </w:rPr>
        <w:t>5</w:t>
      </w:r>
      <w:r>
        <w:tab/>
        <w:t>Results</w:t>
      </w:r>
    </w:p>
    <w:p w14:paraId="2AE830DA" w14:textId="77777777" w:rsidR="005F2D07" w:rsidRDefault="00000000">
      <w:pPr>
        <w:pStyle w:val="Heading2"/>
      </w:pPr>
      <w:bookmarkStart w:id="7" w:name="nuh-main-screening-analysis"/>
      <w:r>
        <w:rPr>
          <w:rStyle w:val="SectionNumber"/>
        </w:rPr>
        <w:t>5.1</w:t>
      </w:r>
      <w:r>
        <w:tab/>
        <w:t>NUH main screening analysis</w:t>
      </w:r>
    </w:p>
    <w:p w14:paraId="28A6D651" w14:textId="77777777" w:rsidR="005F2D07" w:rsidRDefault="00000000">
      <w:pPr>
        <w:pStyle w:val="FirstParagraph"/>
        <w:keepNext/>
      </w:pPr>
      <w:r>
        <w:t>Table 1 orders models by the pooled repeated-CV results; Figure 1 shows the test ROC curves. Random forest has the highest pooled CV AUC (</w:t>
      </w:r>
      <m:oMath>
        <m:r>
          <w:rPr>
            <w:rFonts w:ascii="Cambria Math" w:hAnsi="Cambria Math"/>
          </w:rPr>
          <m:t>0.845</m:t>
        </m:r>
        <m:r>
          <m:rPr>
            <m:sty m:val="p"/>
          </m:rPr>
          <w:rPr>
            <w:rFonts w:ascii="Cambria Math" w:hAnsi="Cambria Math"/>
          </w:rPr>
          <m:t>±</m:t>
        </m:r>
        <m:r>
          <w:rPr>
            <w:rFonts w:ascii="Cambria Math" w:hAnsi="Cambria Math"/>
          </w:rPr>
          <m:t>0.066</m:t>
        </m:r>
      </m:oMath>
      <w:r>
        <w:t>) and the lowest pooled CV EER (</w:t>
      </w:r>
      <m:oMath>
        <m:r>
          <w:rPr>
            <w:rFonts w:ascii="Cambria Math" w:hAnsi="Cambria Math"/>
          </w:rPr>
          <m:t>0.245</m:t>
        </m:r>
        <m:r>
          <m:rPr>
            <m:sty m:val="p"/>
          </m:rPr>
          <w:rPr>
            <w:rFonts w:ascii="Cambria Math" w:hAnsi="Cambria Math"/>
          </w:rPr>
          <m:t>±</m:t>
        </m:r>
        <m:r>
          <w:rPr>
            <w:rFonts w:ascii="Cambria Math" w:hAnsi="Cambria Math"/>
          </w:rPr>
          <m:t>0.089</m:t>
        </m:r>
      </m:oMath>
      <w:r>
        <w:t>), followed by TabPFN on both metrics. As stated in Section 4, these pooled columns include the test cases and are reported to show stability, not to choose a model; the fold-wise spreads are in any case larger than most differences between methods (Figure 2), so the ordering is descriptive.</w:t>
      </w:r>
    </w:p>
    <w:p w14:paraId="2378A0F8" w14:textId="77777777" w:rsidR="005F2D07" w:rsidRDefault="00000000">
      <w:pPr>
        <w:pStyle w:val="TableCaption"/>
      </w:pPr>
      <w:bookmarkStart w:id="8" w:name="tab:nuh"/>
      <w:r>
        <w:t>Table 1: NUH-g2 main screening label (borderline positive). Test EER</w:t>
      </w:r>
      <m:oMath>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is the interpolated ROC intersection. CV columns are </w:t>
      </w:r>
      <m:oMath>
        <m:r>
          <w:rPr>
            <w:rFonts w:ascii="Cambria Math" w:hAnsi="Cambria Math"/>
          </w:rPr>
          <m:t>5×5</m:t>
        </m:r>
      </m:oMath>
      <w:r>
        <w:t xml:space="preserve"> repeated-CV over all 109 cases (mean </w:t>
      </w:r>
      <m:oMath>
        <m:r>
          <w:rPr>
            <w:rFonts w:ascii="Cambria Math" w:hAnsi="Cambria Math"/>
          </w:rPr>
          <m:t>±</m:t>
        </m:r>
      </m:oMath>
      <w:r>
        <w:t xml:space="preserve"> fold-wise s.d.); because they pool the training and test cases they are a stability summary, not a held-out estimate, and the model was selected on training-OOF scores instead (Section 4).</w:t>
      </w:r>
    </w:p>
    <w:tbl>
      <w:tblPr>
        <w:tblStyle w:val="Table"/>
        <w:tblW w:w="0" w:type="auto"/>
        <w:jc w:val="center"/>
        <w:tblLayout w:type="fixed"/>
        <w:tblLook w:val="0020" w:firstRow="1" w:lastRow="0" w:firstColumn="0" w:lastColumn="0" w:noHBand="0" w:noVBand="0"/>
      </w:tblPr>
      <w:tblGrid>
        <w:gridCol w:w="2381"/>
        <w:gridCol w:w="1474"/>
        <w:gridCol w:w="1587"/>
        <w:gridCol w:w="1984"/>
        <w:gridCol w:w="1984"/>
      </w:tblGrid>
      <w:tr w:rsidR="005F2D07" w14:paraId="73A51BBE" w14:textId="77777777" w:rsidTr="005F2D07">
        <w:trPr>
          <w:cnfStyle w:val="100000000000" w:firstRow="1" w:lastRow="0" w:firstColumn="0" w:lastColumn="0" w:oddVBand="0" w:evenVBand="0" w:oddHBand="0" w:evenHBand="0" w:firstRowFirstColumn="0" w:firstRowLastColumn="0" w:lastRowFirstColumn="0" w:lastRowLastColumn="0"/>
          <w:cantSplit/>
          <w:tblHeader/>
          <w:jc w:val="center"/>
        </w:trPr>
        <w:tc>
          <w:tcPr>
            <w:tcW w:w="2381" w:type="dxa"/>
          </w:tcPr>
          <w:p w14:paraId="65C3FEC4" w14:textId="77777777" w:rsidR="005F2D07" w:rsidRDefault="00000000">
            <w:pPr>
              <w:pStyle w:val="Compact"/>
            </w:pPr>
            <w:r>
              <w:rPr>
                <w:sz w:val="20"/>
              </w:rPr>
              <w:t>Model</w:t>
            </w:r>
          </w:p>
        </w:tc>
        <w:tc>
          <w:tcPr>
            <w:tcW w:w="1474" w:type="dxa"/>
          </w:tcPr>
          <w:p w14:paraId="2B1199A5" w14:textId="77777777" w:rsidR="005F2D07" w:rsidRDefault="00000000">
            <w:pPr>
              <w:pStyle w:val="Compact"/>
              <w:jc w:val="center"/>
            </w:pPr>
            <w:r>
              <w:rPr>
                <w:sz w:val="20"/>
              </w:rPr>
              <w:t>Test AUC</w:t>
            </w:r>
          </w:p>
        </w:tc>
        <w:tc>
          <w:tcPr>
            <w:tcW w:w="1587" w:type="dxa"/>
          </w:tcPr>
          <w:p w14:paraId="5D400CC1" w14:textId="77777777" w:rsidR="005F2D07" w:rsidRDefault="00000000">
            <w:pPr>
              <w:pStyle w:val="Compact"/>
              <w:jc w:val="center"/>
            </w:pPr>
            <w:r>
              <w:rPr>
                <w:sz w:val="20"/>
              </w:rPr>
              <w:t>Test EER</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1984" w:type="dxa"/>
          </w:tcPr>
          <w:p w14:paraId="7D3642B1" w14:textId="77777777" w:rsidR="005F2D07" w:rsidRDefault="00000000">
            <w:pPr>
              <w:pStyle w:val="Compact"/>
              <w:jc w:val="center"/>
            </w:pPr>
            <w:r>
              <w:rPr>
                <w:sz w:val="20"/>
              </w:rPr>
              <w:t>CV AUC</w:t>
            </w:r>
          </w:p>
        </w:tc>
        <w:tc>
          <w:tcPr>
            <w:tcW w:w="1984" w:type="dxa"/>
          </w:tcPr>
          <w:p w14:paraId="25A986CD" w14:textId="77777777" w:rsidR="005F2D07" w:rsidRDefault="00000000">
            <w:pPr>
              <w:pStyle w:val="Compact"/>
              <w:jc w:val="center"/>
            </w:pPr>
            <w:r>
              <w:rPr>
                <w:sz w:val="20"/>
              </w:rPr>
              <w:t>CV EER</w:t>
            </w:r>
          </w:p>
        </w:tc>
      </w:tr>
      <w:tr w:rsidR="005F2D07" w14:paraId="2F07875B" w14:textId="77777777" w:rsidTr="005F2D07">
        <w:trPr>
          <w:cantSplit/>
          <w:jc w:val="center"/>
        </w:trPr>
        <w:tc>
          <w:tcPr>
            <w:tcW w:w="2381" w:type="dxa"/>
          </w:tcPr>
          <w:p w14:paraId="20264DD9" w14:textId="77777777" w:rsidR="005F2D07" w:rsidRDefault="00000000">
            <w:pPr>
              <w:pStyle w:val="Compact"/>
            </w:pPr>
            <w:r>
              <w:rPr>
                <w:sz w:val="20"/>
              </w:rPr>
              <w:t>LogReg</w:t>
            </w:r>
          </w:p>
        </w:tc>
        <w:tc>
          <w:tcPr>
            <w:tcW w:w="1474" w:type="dxa"/>
          </w:tcPr>
          <w:p w14:paraId="78854130" w14:textId="77777777" w:rsidR="005F2D07" w:rsidRDefault="00000000">
            <w:pPr>
              <w:pStyle w:val="Compact"/>
              <w:jc w:val="center"/>
            </w:pPr>
            <w:r>
              <w:rPr>
                <w:sz w:val="20"/>
              </w:rPr>
              <w:t>0.691</w:t>
            </w:r>
          </w:p>
        </w:tc>
        <w:tc>
          <w:tcPr>
            <w:tcW w:w="1587" w:type="dxa"/>
          </w:tcPr>
          <w:p w14:paraId="2B22D9F5" w14:textId="77777777" w:rsidR="005F2D07" w:rsidRDefault="00000000">
            <w:pPr>
              <w:pStyle w:val="Compact"/>
              <w:jc w:val="center"/>
            </w:pPr>
            <w:r>
              <w:rPr>
                <w:sz w:val="20"/>
              </w:rPr>
              <w:t>0.346</w:t>
            </w:r>
          </w:p>
        </w:tc>
        <w:tc>
          <w:tcPr>
            <w:tcW w:w="1984" w:type="dxa"/>
          </w:tcPr>
          <w:p w14:paraId="731047DE" w14:textId="77777777" w:rsidR="005F2D07" w:rsidRDefault="00000000">
            <w:pPr>
              <w:pStyle w:val="Compact"/>
              <w:jc w:val="center"/>
            </w:pPr>
            <w:r>
              <w:rPr>
                <w:sz w:val="20"/>
              </w:rPr>
              <w:t>0.773 ± 0.083</w:t>
            </w:r>
          </w:p>
        </w:tc>
        <w:tc>
          <w:tcPr>
            <w:tcW w:w="1984" w:type="dxa"/>
          </w:tcPr>
          <w:p w14:paraId="52A214DF" w14:textId="77777777" w:rsidR="005F2D07" w:rsidRDefault="00000000">
            <w:pPr>
              <w:pStyle w:val="Compact"/>
              <w:jc w:val="center"/>
            </w:pPr>
            <w:r>
              <w:rPr>
                <w:sz w:val="20"/>
              </w:rPr>
              <w:t>0.272 ± 0.083</w:t>
            </w:r>
          </w:p>
        </w:tc>
      </w:tr>
      <w:tr w:rsidR="005F2D07" w14:paraId="16638273" w14:textId="77777777" w:rsidTr="005F2D07">
        <w:trPr>
          <w:cantSplit/>
          <w:jc w:val="center"/>
        </w:trPr>
        <w:tc>
          <w:tcPr>
            <w:tcW w:w="2381" w:type="dxa"/>
          </w:tcPr>
          <w:p w14:paraId="4EE06774" w14:textId="77777777" w:rsidR="005F2D07" w:rsidRDefault="00000000">
            <w:pPr>
              <w:pStyle w:val="Compact"/>
            </w:pPr>
            <w:r>
              <w:rPr>
                <w:sz w:val="20"/>
              </w:rPr>
              <w:t>SVM-RBF</w:t>
            </w:r>
          </w:p>
        </w:tc>
        <w:tc>
          <w:tcPr>
            <w:tcW w:w="1474" w:type="dxa"/>
          </w:tcPr>
          <w:p w14:paraId="11EDAC3A" w14:textId="77777777" w:rsidR="005F2D07" w:rsidRDefault="00000000">
            <w:pPr>
              <w:pStyle w:val="Compact"/>
              <w:jc w:val="center"/>
            </w:pPr>
            <w:r>
              <w:rPr>
                <w:sz w:val="20"/>
              </w:rPr>
              <w:t>0.805</w:t>
            </w:r>
          </w:p>
        </w:tc>
        <w:tc>
          <w:tcPr>
            <w:tcW w:w="1587" w:type="dxa"/>
          </w:tcPr>
          <w:p w14:paraId="65F4F3CD" w14:textId="77777777" w:rsidR="005F2D07" w:rsidRDefault="00000000">
            <w:pPr>
              <w:pStyle w:val="Compact"/>
              <w:jc w:val="center"/>
            </w:pPr>
            <w:r>
              <w:rPr>
                <w:sz w:val="20"/>
              </w:rPr>
              <w:t>0.250</w:t>
            </w:r>
          </w:p>
        </w:tc>
        <w:tc>
          <w:tcPr>
            <w:tcW w:w="1984" w:type="dxa"/>
          </w:tcPr>
          <w:p w14:paraId="0139EB4C" w14:textId="77777777" w:rsidR="005F2D07" w:rsidRDefault="00000000">
            <w:pPr>
              <w:pStyle w:val="Compact"/>
              <w:jc w:val="center"/>
            </w:pPr>
            <w:r>
              <w:rPr>
                <w:sz w:val="20"/>
              </w:rPr>
              <w:t>0.809 ± 0.085</w:t>
            </w:r>
          </w:p>
        </w:tc>
        <w:tc>
          <w:tcPr>
            <w:tcW w:w="1984" w:type="dxa"/>
          </w:tcPr>
          <w:p w14:paraId="260484B3" w14:textId="77777777" w:rsidR="005F2D07" w:rsidRDefault="00000000">
            <w:pPr>
              <w:pStyle w:val="Compact"/>
              <w:jc w:val="center"/>
            </w:pPr>
            <w:r>
              <w:rPr>
                <w:sz w:val="20"/>
              </w:rPr>
              <w:t>0.282 ± 0.091</w:t>
            </w:r>
          </w:p>
        </w:tc>
      </w:tr>
      <w:tr w:rsidR="005F2D07" w14:paraId="63DDF87E" w14:textId="77777777" w:rsidTr="005F2D07">
        <w:trPr>
          <w:cantSplit/>
          <w:jc w:val="center"/>
        </w:trPr>
        <w:tc>
          <w:tcPr>
            <w:tcW w:w="2381" w:type="dxa"/>
          </w:tcPr>
          <w:p w14:paraId="02903655" w14:textId="77777777" w:rsidR="005F2D07" w:rsidRDefault="00000000">
            <w:pPr>
              <w:pStyle w:val="Compact"/>
            </w:pPr>
            <w:r>
              <w:rPr>
                <w:sz w:val="20"/>
              </w:rPr>
              <w:t>RandomForest</w:t>
            </w:r>
          </w:p>
        </w:tc>
        <w:tc>
          <w:tcPr>
            <w:tcW w:w="1474" w:type="dxa"/>
          </w:tcPr>
          <w:p w14:paraId="71810DB7" w14:textId="77777777" w:rsidR="005F2D07" w:rsidRDefault="00000000">
            <w:pPr>
              <w:pStyle w:val="Compact"/>
              <w:jc w:val="center"/>
            </w:pPr>
            <w:r>
              <w:rPr>
                <w:sz w:val="20"/>
              </w:rPr>
              <w:t>0.789</w:t>
            </w:r>
          </w:p>
        </w:tc>
        <w:tc>
          <w:tcPr>
            <w:tcW w:w="1587" w:type="dxa"/>
          </w:tcPr>
          <w:p w14:paraId="7EF81BD4" w14:textId="77777777" w:rsidR="005F2D07" w:rsidRDefault="00000000">
            <w:pPr>
              <w:pStyle w:val="Compact"/>
              <w:jc w:val="center"/>
            </w:pPr>
            <w:r>
              <w:rPr>
                <w:sz w:val="20"/>
              </w:rPr>
              <w:t>0.231</w:t>
            </w:r>
          </w:p>
        </w:tc>
        <w:tc>
          <w:tcPr>
            <w:tcW w:w="1984" w:type="dxa"/>
          </w:tcPr>
          <w:p w14:paraId="0F50945F" w14:textId="77777777" w:rsidR="005F2D07" w:rsidRDefault="00000000">
            <w:pPr>
              <w:pStyle w:val="Compact"/>
              <w:jc w:val="center"/>
            </w:pPr>
            <w:r>
              <w:rPr>
                <w:b/>
                <w:bCs/>
                <w:sz w:val="20"/>
              </w:rPr>
              <w:t>0.845 ± 0.066</w:t>
            </w:r>
          </w:p>
        </w:tc>
        <w:tc>
          <w:tcPr>
            <w:tcW w:w="1984" w:type="dxa"/>
          </w:tcPr>
          <w:p w14:paraId="2158B9D6" w14:textId="77777777" w:rsidR="005F2D07" w:rsidRDefault="00000000">
            <w:pPr>
              <w:pStyle w:val="Compact"/>
              <w:jc w:val="center"/>
            </w:pPr>
            <w:r>
              <w:rPr>
                <w:b/>
                <w:bCs/>
                <w:sz w:val="20"/>
              </w:rPr>
              <w:t>0.245 ± 0.089</w:t>
            </w:r>
          </w:p>
        </w:tc>
      </w:tr>
      <w:tr w:rsidR="005F2D07" w14:paraId="5A309B55" w14:textId="77777777" w:rsidTr="005F2D07">
        <w:trPr>
          <w:cantSplit/>
          <w:jc w:val="center"/>
        </w:trPr>
        <w:tc>
          <w:tcPr>
            <w:tcW w:w="2381" w:type="dxa"/>
          </w:tcPr>
          <w:p w14:paraId="5592EAFD" w14:textId="77777777" w:rsidR="005F2D07" w:rsidRDefault="00000000">
            <w:pPr>
              <w:pStyle w:val="Compact"/>
            </w:pPr>
            <w:r>
              <w:rPr>
                <w:sz w:val="20"/>
              </w:rPr>
              <w:t>MLP-BP</w:t>
            </w:r>
          </w:p>
        </w:tc>
        <w:tc>
          <w:tcPr>
            <w:tcW w:w="1474" w:type="dxa"/>
          </w:tcPr>
          <w:p w14:paraId="004DD75D" w14:textId="77777777" w:rsidR="005F2D07" w:rsidRDefault="00000000">
            <w:pPr>
              <w:pStyle w:val="Compact"/>
              <w:jc w:val="center"/>
            </w:pPr>
            <w:r>
              <w:rPr>
                <w:sz w:val="20"/>
              </w:rPr>
              <w:t>0.640</w:t>
            </w:r>
          </w:p>
        </w:tc>
        <w:tc>
          <w:tcPr>
            <w:tcW w:w="1587" w:type="dxa"/>
          </w:tcPr>
          <w:p w14:paraId="454BAA08" w14:textId="77777777" w:rsidR="005F2D07" w:rsidRDefault="00000000">
            <w:pPr>
              <w:pStyle w:val="Compact"/>
              <w:jc w:val="center"/>
            </w:pPr>
            <w:r>
              <w:rPr>
                <w:sz w:val="20"/>
              </w:rPr>
              <w:t>0.357</w:t>
            </w:r>
          </w:p>
        </w:tc>
        <w:tc>
          <w:tcPr>
            <w:tcW w:w="1984" w:type="dxa"/>
          </w:tcPr>
          <w:p w14:paraId="02C6C4EF" w14:textId="77777777" w:rsidR="005F2D07" w:rsidRDefault="00000000">
            <w:pPr>
              <w:pStyle w:val="Compact"/>
              <w:jc w:val="center"/>
            </w:pPr>
            <w:r>
              <w:rPr>
                <w:sz w:val="20"/>
              </w:rPr>
              <w:t>0.764 ± 0.083</w:t>
            </w:r>
          </w:p>
        </w:tc>
        <w:tc>
          <w:tcPr>
            <w:tcW w:w="1984" w:type="dxa"/>
          </w:tcPr>
          <w:p w14:paraId="1E7DC664" w14:textId="77777777" w:rsidR="005F2D07" w:rsidRDefault="00000000">
            <w:pPr>
              <w:pStyle w:val="Compact"/>
              <w:jc w:val="center"/>
            </w:pPr>
            <w:r>
              <w:rPr>
                <w:sz w:val="20"/>
              </w:rPr>
              <w:t>0.286 ± 0.074</w:t>
            </w:r>
          </w:p>
        </w:tc>
      </w:tr>
      <w:tr w:rsidR="005F2D07" w14:paraId="13C5488C" w14:textId="77777777" w:rsidTr="005F2D07">
        <w:trPr>
          <w:cantSplit/>
          <w:jc w:val="center"/>
        </w:trPr>
        <w:tc>
          <w:tcPr>
            <w:tcW w:w="2381" w:type="dxa"/>
          </w:tcPr>
          <w:p w14:paraId="15C3F4C8" w14:textId="77777777" w:rsidR="005F2D07" w:rsidRDefault="00000000">
            <w:pPr>
              <w:pStyle w:val="Compact"/>
            </w:pPr>
            <w:r>
              <w:rPr>
                <w:sz w:val="20"/>
              </w:rPr>
              <w:t>Forward-Forward</w:t>
            </w:r>
          </w:p>
        </w:tc>
        <w:tc>
          <w:tcPr>
            <w:tcW w:w="1474" w:type="dxa"/>
          </w:tcPr>
          <w:p w14:paraId="19925B86" w14:textId="77777777" w:rsidR="005F2D07" w:rsidRDefault="00000000">
            <w:pPr>
              <w:pStyle w:val="Compact"/>
              <w:jc w:val="center"/>
            </w:pPr>
            <w:r>
              <w:rPr>
                <w:sz w:val="20"/>
              </w:rPr>
              <w:t>0.820</w:t>
            </w:r>
          </w:p>
        </w:tc>
        <w:tc>
          <w:tcPr>
            <w:tcW w:w="1587" w:type="dxa"/>
          </w:tcPr>
          <w:p w14:paraId="1ECDE65E" w14:textId="77777777" w:rsidR="005F2D07" w:rsidRDefault="00000000">
            <w:pPr>
              <w:pStyle w:val="Compact"/>
              <w:jc w:val="center"/>
            </w:pPr>
            <w:r>
              <w:rPr>
                <w:sz w:val="20"/>
              </w:rPr>
              <w:t>0.269</w:t>
            </w:r>
          </w:p>
        </w:tc>
        <w:tc>
          <w:tcPr>
            <w:tcW w:w="1984" w:type="dxa"/>
          </w:tcPr>
          <w:p w14:paraId="5C0B70F3" w14:textId="77777777" w:rsidR="005F2D07" w:rsidRDefault="00000000">
            <w:pPr>
              <w:pStyle w:val="Compact"/>
              <w:jc w:val="center"/>
            </w:pPr>
            <w:r>
              <w:rPr>
                <w:sz w:val="20"/>
              </w:rPr>
              <w:t>0.813 ± 0.082</w:t>
            </w:r>
          </w:p>
        </w:tc>
        <w:tc>
          <w:tcPr>
            <w:tcW w:w="1984" w:type="dxa"/>
          </w:tcPr>
          <w:p w14:paraId="3DF8FB16" w14:textId="77777777" w:rsidR="005F2D07" w:rsidRDefault="00000000">
            <w:pPr>
              <w:pStyle w:val="Compact"/>
              <w:jc w:val="center"/>
            </w:pPr>
            <w:r>
              <w:rPr>
                <w:sz w:val="20"/>
              </w:rPr>
              <w:t>0.272 ± 0.090</w:t>
            </w:r>
          </w:p>
        </w:tc>
      </w:tr>
      <w:tr w:rsidR="005F2D07" w14:paraId="646347B7" w14:textId="77777777" w:rsidTr="005F2D07">
        <w:trPr>
          <w:cantSplit/>
          <w:jc w:val="center"/>
        </w:trPr>
        <w:tc>
          <w:tcPr>
            <w:tcW w:w="2381" w:type="dxa"/>
          </w:tcPr>
          <w:p w14:paraId="127CD643" w14:textId="77777777" w:rsidR="005F2D07" w:rsidRDefault="00000000">
            <w:pPr>
              <w:pStyle w:val="Compact"/>
            </w:pPr>
            <w:r>
              <w:rPr>
                <w:sz w:val="20"/>
              </w:rPr>
              <w:t>CMA-ES-MLP</w:t>
            </w:r>
          </w:p>
        </w:tc>
        <w:tc>
          <w:tcPr>
            <w:tcW w:w="1474" w:type="dxa"/>
          </w:tcPr>
          <w:p w14:paraId="5A34930B" w14:textId="77777777" w:rsidR="005F2D07" w:rsidRDefault="00000000">
            <w:pPr>
              <w:pStyle w:val="Compact"/>
              <w:jc w:val="center"/>
            </w:pPr>
            <w:r>
              <w:rPr>
                <w:sz w:val="20"/>
              </w:rPr>
              <w:t>0.746</w:t>
            </w:r>
          </w:p>
        </w:tc>
        <w:tc>
          <w:tcPr>
            <w:tcW w:w="1587" w:type="dxa"/>
          </w:tcPr>
          <w:p w14:paraId="2DF9EA82" w14:textId="77777777" w:rsidR="005F2D07" w:rsidRDefault="00000000">
            <w:pPr>
              <w:pStyle w:val="Compact"/>
              <w:jc w:val="center"/>
            </w:pPr>
            <w:r>
              <w:rPr>
                <w:sz w:val="20"/>
              </w:rPr>
              <w:t>0.231</w:t>
            </w:r>
          </w:p>
        </w:tc>
        <w:tc>
          <w:tcPr>
            <w:tcW w:w="1984" w:type="dxa"/>
          </w:tcPr>
          <w:p w14:paraId="67A64B13" w14:textId="77777777" w:rsidR="005F2D07" w:rsidRDefault="00000000">
            <w:pPr>
              <w:pStyle w:val="Compact"/>
              <w:jc w:val="center"/>
            </w:pPr>
            <w:r>
              <w:rPr>
                <w:sz w:val="20"/>
              </w:rPr>
              <w:t>0.801 ± 0.073</w:t>
            </w:r>
          </w:p>
        </w:tc>
        <w:tc>
          <w:tcPr>
            <w:tcW w:w="1984" w:type="dxa"/>
          </w:tcPr>
          <w:p w14:paraId="719B0D89" w14:textId="77777777" w:rsidR="005F2D07" w:rsidRDefault="00000000">
            <w:pPr>
              <w:pStyle w:val="Compact"/>
              <w:jc w:val="center"/>
            </w:pPr>
            <w:r>
              <w:rPr>
                <w:sz w:val="20"/>
              </w:rPr>
              <w:t>0.269 ± 0.063</w:t>
            </w:r>
          </w:p>
        </w:tc>
      </w:tr>
      <w:tr w:rsidR="005F2D07" w14:paraId="595D815E" w14:textId="77777777" w:rsidTr="005F2D07">
        <w:trPr>
          <w:cantSplit/>
          <w:jc w:val="center"/>
        </w:trPr>
        <w:tc>
          <w:tcPr>
            <w:tcW w:w="2381" w:type="dxa"/>
          </w:tcPr>
          <w:p w14:paraId="4FC31690" w14:textId="77777777" w:rsidR="005F2D07" w:rsidRDefault="00000000">
            <w:pPr>
              <w:pStyle w:val="Compact"/>
            </w:pPr>
            <w:r>
              <w:rPr>
                <w:sz w:val="20"/>
              </w:rPr>
              <w:t>ANFIS</w:t>
            </w:r>
          </w:p>
        </w:tc>
        <w:tc>
          <w:tcPr>
            <w:tcW w:w="1474" w:type="dxa"/>
          </w:tcPr>
          <w:p w14:paraId="0A457F69" w14:textId="77777777" w:rsidR="005F2D07" w:rsidRDefault="00000000">
            <w:pPr>
              <w:pStyle w:val="Compact"/>
              <w:jc w:val="center"/>
            </w:pPr>
            <w:r>
              <w:rPr>
                <w:sz w:val="20"/>
              </w:rPr>
              <w:t>0.673</w:t>
            </w:r>
          </w:p>
        </w:tc>
        <w:tc>
          <w:tcPr>
            <w:tcW w:w="1587" w:type="dxa"/>
          </w:tcPr>
          <w:p w14:paraId="2735A49B" w14:textId="77777777" w:rsidR="005F2D07" w:rsidRDefault="00000000">
            <w:pPr>
              <w:pStyle w:val="Compact"/>
              <w:jc w:val="center"/>
            </w:pPr>
            <w:r>
              <w:rPr>
                <w:sz w:val="20"/>
              </w:rPr>
              <w:t>0.385</w:t>
            </w:r>
          </w:p>
        </w:tc>
        <w:tc>
          <w:tcPr>
            <w:tcW w:w="1984" w:type="dxa"/>
          </w:tcPr>
          <w:p w14:paraId="4FF89065" w14:textId="77777777" w:rsidR="005F2D07" w:rsidRDefault="00000000">
            <w:pPr>
              <w:pStyle w:val="Compact"/>
              <w:jc w:val="center"/>
            </w:pPr>
            <w:r>
              <w:rPr>
                <w:sz w:val="20"/>
              </w:rPr>
              <w:t>0.749 ± 0.121</w:t>
            </w:r>
          </w:p>
        </w:tc>
        <w:tc>
          <w:tcPr>
            <w:tcW w:w="1984" w:type="dxa"/>
          </w:tcPr>
          <w:p w14:paraId="0DC8547A" w14:textId="77777777" w:rsidR="005F2D07" w:rsidRDefault="00000000">
            <w:pPr>
              <w:pStyle w:val="Compact"/>
              <w:jc w:val="center"/>
            </w:pPr>
            <w:r>
              <w:rPr>
                <w:sz w:val="20"/>
              </w:rPr>
              <w:t>0.302 ± 0.108</w:t>
            </w:r>
          </w:p>
        </w:tc>
      </w:tr>
      <w:tr w:rsidR="005F2D07" w14:paraId="7212A6D0" w14:textId="77777777" w:rsidTr="005F2D07">
        <w:trPr>
          <w:cantSplit/>
          <w:jc w:val="center"/>
        </w:trPr>
        <w:tc>
          <w:tcPr>
            <w:tcW w:w="2381" w:type="dxa"/>
          </w:tcPr>
          <w:p w14:paraId="7338E410" w14:textId="77777777" w:rsidR="005F2D07" w:rsidRDefault="00000000">
            <w:pPr>
              <w:pStyle w:val="Compact"/>
            </w:pPr>
            <w:r>
              <w:rPr>
                <w:sz w:val="20"/>
              </w:rPr>
              <w:t>TabPFN</w:t>
            </w:r>
          </w:p>
        </w:tc>
        <w:tc>
          <w:tcPr>
            <w:tcW w:w="1474" w:type="dxa"/>
          </w:tcPr>
          <w:p w14:paraId="68922FBF" w14:textId="77777777" w:rsidR="005F2D07" w:rsidRDefault="00000000">
            <w:pPr>
              <w:pStyle w:val="Compact"/>
              <w:jc w:val="center"/>
            </w:pPr>
            <w:r>
              <w:rPr>
                <w:sz w:val="20"/>
              </w:rPr>
              <w:t>0.765</w:t>
            </w:r>
          </w:p>
        </w:tc>
        <w:tc>
          <w:tcPr>
            <w:tcW w:w="1587" w:type="dxa"/>
          </w:tcPr>
          <w:p w14:paraId="4B3EAEFE" w14:textId="77777777" w:rsidR="005F2D07" w:rsidRDefault="00000000">
            <w:pPr>
              <w:pStyle w:val="Compact"/>
              <w:jc w:val="center"/>
            </w:pPr>
            <w:r>
              <w:rPr>
                <w:sz w:val="20"/>
              </w:rPr>
              <w:t>0.250</w:t>
            </w:r>
          </w:p>
        </w:tc>
        <w:tc>
          <w:tcPr>
            <w:tcW w:w="1984" w:type="dxa"/>
          </w:tcPr>
          <w:p w14:paraId="3ECC22BC" w14:textId="77777777" w:rsidR="005F2D07" w:rsidRDefault="00000000">
            <w:pPr>
              <w:pStyle w:val="Compact"/>
              <w:jc w:val="center"/>
            </w:pPr>
            <w:r>
              <w:rPr>
                <w:sz w:val="20"/>
              </w:rPr>
              <w:t>0.828 ± 0.064</w:t>
            </w:r>
          </w:p>
        </w:tc>
        <w:tc>
          <w:tcPr>
            <w:tcW w:w="1984" w:type="dxa"/>
          </w:tcPr>
          <w:p w14:paraId="385D65AE" w14:textId="77777777" w:rsidR="005F2D07" w:rsidRDefault="00000000">
            <w:pPr>
              <w:pStyle w:val="Compact"/>
              <w:jc w:val="center"/>
            </w:pPr>
            <w:r>
              <w:rPr>
                <w:sz w:val="20"/>
              </w:rPr>
              <w:t>0.255 ± 0.076</w:t>
            </w:r>
          </w:p>
        </w:tc>
      </w:tr>
    </w:tbl>
    <w:p w14:paraId="50967B43" w14:textId="77777777" w:rsidR="005F2D07" w:rsidRDefault="00000000" w:rsidP="00A45D24">
      <w:pPr>
        <w:pStyle w:val="CaptionedFigure"/>
        <w:jc w:val="center"/>
      </w:pPr>
      <w:bookmarkStart w:id="9" w:name="fig:nuh-roc"/>
      <w:bookmarkEnd w:id="8"/>
      <w:r>
        <w:rPr>
          <w:noProof/>
        </w:rPr>
        <w:lastRenderedPageBreak/>
        <w:drawing>
          <wp:inline distT="0" distB="0" distL="0" distR="0" wp14:anchorId="3A7764DE" wp14:editId="7383ED09">
            <wp:extent cx="5876632" cy="2476500"/>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8" name="Picture" descr="nuh_roc_focused.png"/>
                    <pic:cNvPicPr>
                      <a:picLocks noChangeAspect="1" noChangeArrowheads="1"/>
                    </pic:cNvPicPr>
                  </pic:nvPicPr>
                  <pic:blipFill>
                    <a:blip r:embed="rId7"/>
                    <a:stretch>
                      <a:fillRect/>
                    </a:stretch>
                  </pic:blipFill>
                  <pic:spPr bwMode="auto">
                    <a:xfrm>
                      <a:off x="0" y="0"/>
                      <a:ext cx="5914055" cy="2492271"/>
                    </a:xfrm>
                    <a:prstGeom prst="rect">
                      <a:avLst/>
                    </a:prstGeom>
                    <a:noFill/>
                    <a:ln w="9525">
                      <a:noFill/>
                      <a:headEnd/>
                      <a:tailEnd/>
                    </a:ln>
                  </pic:spPr>
                </pic:pic>
              </a:graphicData>
            </a:graphic>
          </wp:inline>
        </w:drawing>
      </w:r>
    </w:p>
    <w:p w14:paraId="3803A35D" w14:textId="77777777" w:rsidR="005F2D07" w:rsidRDefault="00000000">
      <w:pPr>
        <w:pStyle w:val="ImageCaption"/>
        <w:keepNext/>
      </w:pPr>
      <w:r>
        <w:t>Figure 1: NUH test ROC curves for the reported model set, one panel per model family. Dots mark linearly interpolated EER points; a dot can lie between two empirical operating points and need not correspond to one deterministic threshold.</w:t>
      </w:r>
    </w:p>
    <w:p w14:paraId="7E9F0172" w14:textId="77777777" w:rsidR="005F2D07" w:rsidRDefault="00000000" w:rsidP="00A45D24">
      <w:pPr>
        <w:pStyle w:val="CaptionedFigure"/>
        <w:jc w:val="center"/>
      </w:pPr>
      <w:bookmarkStart w:id="10" w:name="fig:nuh-cv"/>
      <w:bookmarkEnd w:id="9"/>
      <w:r>
        <w:rPr>
          <w:noProof/>
        </w:rPr>
        <w:drawing>
          <wp:inline distT="0" distB="0" distL="0" distR="0" wp14:anchorId="7853E034" wp14:editId="710C3A73">
            <wp:extent cx="4474029" cy="2786743"/>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nuh_cv_auc_focused.png"/>
                    <pic:cNvPicPr>
                      <a:picLocks noChangeAspect="1" noChangeArrowheads="1"/>
                    </pic:cNvPicPr>
                  </pic:nvPicPr>
                  <pic:blipFill>
                    <a:blip r:embed="rId8"/>
                    <a:stretch>
                      <a:fillRect/>
                    </a:stretch>
                  </pic:blipFill>
                  <pic:spPr bwMode="auto">
                    <a:xfrm>
                      <a:off x="0" y="0"/>
                      <a:ext cx="4479711" cy="2790282"/>
                    </a:xfrm>
                    <a:prstGeom prst="rect">
                      <a:avLst/>
                    </a:prstGeom>
                    <a:noFill/>
                    <a:ln w="9525">
                      <a:noFill/>
                      <a:headEnd/>
                      <a:tailEnd/>
                    </a:ln>
                  </pic:spPr>
                </pic:pic>
              </a:graphicData>
            </a:graphic>
          </wp:inline>
        </w:drawing>
      </w:r>
    </w:p>
    <w:p w14:paraId="35076A60" w14:textId="77777777" w:rsidR="005F2D07" w:rsidRDefault="00000000">
      <w:pPr>
        <w:pStyle w:val="ImageCaption"/>
        <w:keepNext/>
      </w:pPr>
      <w:r>
        <w:t xml:space="preserve">Figure 2: NUH pooled repeated-CV AUC over all 109 cases (mean </w:t>
      </w:r>
      <m:oMath>
        <m:r>
          <w:rPr>
            <w:rFonts w:ascii="Cambria Math" w:hAnsi="Cambria Math"/>
          </w:rPr>
          <m:t>±</m:t>
        </m:r>
      </m:oMath>
      <w:r>
        <w:t xml:space="preserve"> fold-wise s.d. over 25 fits), grouped by model family. The intervals overlap substantially, so the ordering in Table 1 is descriptive rather than evidence of a reliable difference between methods; as in Table 1, these values pool training and test cases and were not used for selection.</w:t>
      </w:r>
    </w:p>
    <w:bookmarkEnd w:id="10"/>
    <w:p w14:paraId="7888B75E" w14:textId="77777777" w:rsidR="005F2D07" w:rsidRDefault="00000000">
      <w:pPr>
        <w:pStyle w:val="BodyText"/>
      </w:pPr>
      <w:r>
        <w:rPr>
          <w:b/>
          <w:bCs/>
        </w:rPr>
        <w:t>Selected decision boundary.</w:t>
      </w:r>
      <w:r>
        <w:t xml:space="preserve"> Model selection uses the training-OOF scores alone: neither the test set nor the pooled CV columns take part. On the training OOF scores random forest is best on both criteria (AUC </w:t>
      </w:r>
      <m:oMath>
        <m:r>
          <w:rPr>
            <w:rFonts w:ascii="Cambria Math" w:hAnsi="Cambria Math"/>
          </w:rPr>
          <m:t>0.812</m:t>
        </m:r>
      </m:oMath>
      <w:r>
        <w:t xml:space="preserve">, EER </w:t>
      </w:r>
      <m:oMath>
        <m:r>
          <w:rPr>
            <w:rFonts w:ascii="Cambria Math" w:hAnsi="Cambria Math"/>
          </w:rPr>
          <m:t>0.236</m:t>
        </m:r>
      </m:oMath>
      <w:r>
        <w:t xml:space="preserve">; next best TabPFN, </w:t>
      </w:r>
      <m:oMath>
        <m:r>
          <w:rPr>
            <w:rFonts w:ascii="Cambria Math" w:hAnsi="Cambria Math"/>
          </w:rPr>
          <m:t>0.796</m:t>
        </m:r>
      </m:oMath>
      <w:r>
        <w:t xml:space="preserve"> and </w:t>
      </w:r>
      <m:oMath>
        <m:r>
          <w:rPr>
            <w:rFonts w:ascii="Cambria Math" w:hAnsi="Cambria Math"/>
          </w:rPr>
          <m:t>0.250</m:t>
        </m:r>
      </m:oMath>
      <w:r>
        <w:t xml:space="preserve">), so it is selected, and its closest attainable training-OOF equal-error threshold is </w:t>
      </w:r>
      <m:oMath>
        <m:sSub>
          <m:sSubPr>
            <m:ctrlPr>
              <w:rPr>
                <w:rFonts w:ascii="Cambria Math" w:hAnsi="Cambria Math"/>
              </w:rPr>
            </m:ctrlPr>
          </m:sSubPr>
          <m:e>
            <m:r>
              <w:rPr>
                <w:rFonts w:ascii="Cambria Math" w:hAnsi="Cambria Math"/>
              </w:rPr>
              <m:t>θ</m:t>
            </m:r>
          </m:e>
          <m:sub>
            <m:r>
              <m:rPr>
                <m:sty m:val="p"/>
              </m:rPr>
              <w:rPr>
                <w:rFonts w:ascii="Cambria Math" w:hAnsi="Cambria Math"/>
              </w:rPr>
              <m:t>OOF</m:t>
            </m:r>
          </m:sub>
        </m:sSub>
        <m:r>
          <m:rPr>
            <m:sty m:val="p"/>
          </m:rPr>
          <w:rPr>
            <w:rFonts w:ascii="Cambria Math" w:hAnsi="Cambria Math"/>
          </w:rPr>
          <m:t>=</m:t>
        </m:r>
        <m:r>
          <w:rPr>
            <w:rFonts w:ascii="Cambria Math" w:hAnsi="Cambria Math"/>
          </w:rPr>
          <m:t>0.484</m:t>
        </m:r>
      </m:oMath>
      <w:r>
        <w:t xml:space="preserve"> on the vote fraction. Applied after refitting, this threshold gives test FPR </w:t>
      </w:r>
      <m:oMath>
        <m:r>
          <w:rPr>
            <w:rFonts w:ascii="Cambria Math" w:hAnsi="Cambria Math"/>
          </w:rPr>
          <m:t>0.214</m:t>
        </m:r>
      </m:oMath>
      <w:r>
        <w:t xml:space="preserve">, FNR </w:t>
      </w:r>
      <m:oMath>
        <m:r>
          <w:rPr>
            <w:rFonts w:ascii="Cambria Math" w:hAnsi="Cambria Math"/>
          </w:rPr>
          <m:t>0.231</m:t>
        </m:r>
      </m:oMath>
      <w:r>
        <w:t xml:space="preserve">, sensitivity </w:t>
      </w:r>
      <m:oMath>
        <m:r>
          <w:rPr>
            <w:rFonts w:ascii="Cambria Math" w:hAnsi="Cambria Math"/>
          </w:rPr>
          <m:t>0.769</m:t>
        </m:r>
      </m:oMath>
      <w:r>
        <w:t xml:space="preserve">, specificity </w:t>
      </w:r>
      <m:oMath>
        <m:r>
          <w:rPr>
            <w:rFonts w:ascii="Cambria Math" w:hAnsi="Cambria Math"/>
          </w:rPr>
          <m:t>0.786</m:t>
        </m:r>
      </m:oMath>
      <w:r>
        <w:t xml:space="preserve">, and accuracy </w:t>
      </w:r>
      <m:oMath>
        <m:r>
          <w:rPr>
            <w:rFonts w:ascii="Cambria Math" w:hAnsi="Cambria Math"/>
          </w:rPr>
          <m:t>0.778</m:t>
        </m:r>
      </m:oMath>
      <w:r>
        <w:t xml:space="preserve">; the interpolated test EER is </w:t>
      </w:r>
      <m:oMath>
        <m:r>
          <w:rPr>
            <w:rFonts w:ascii="Cambria Math" w:hAnsi="Cambria Math"/>
          </w:rPr>
          <m:t>0.231</m:t>
        </m:r>
      </m:oMath>
      <w:r>
        <w:t>. CMA-ES-MLP happens to reach the same descriptive test EER, but it was not selected: its training-OOF EER is clearly worse (</w:t>
      </w:r>
      <m:oMath>
        <m:r>
          <w:rPr>
            <w:rFonts w:ascii="Cambria Math" w:hAnsi="Cambria Math"/>
          </w:rPr>
          <m:t>0.296</m:t>
        </m:r>
      </m:oMath>
      <w:r>
        <w:t>), and the test-set values were not available to the selection step. That the pooled CV ranking in Table 1 also puts random forest first is a consistency check reported after the fact, not the reason for the choice.</w:t>
      </w:r>
    </w:p>
    <w:p w14:paraId="2FEF90D4" w14:textId="6D19DF6D" w:rsidR="005F2D07" w:rsidRDefault="00000000">
      <w:pPr>
        <w:pStyle w:val="Heading2"/>
      </w:pPr>
      <w:bookmarkStart w:id="11" w:name="sec:borderline"/>
      <w:bookmarkEnd w:id="7"/>
      <w:r>
        <w:rPr>
          <w:rStyle w:val="SectionNumber"/>
        </w:rPr>
        <w:lastRenderedPageBreak/>
        <w:t>5.2</w:t>
      </w:r>
      <w:r>
        <w:tab/>
        <w:t>Sensitivity to the borderline label</w:t>
      </w:r>
    </w:p>
    <w:p w14:paraId="06541141" w14:textId="77777777" w:rsidR="00A45D24" w:rsidRDefault="00000000" w:rsidP="00A45D24">
      <w:pPr>
        <w:pStyle w:val="FirstParagraph"/>
      </w:pPr>
      <w:r>
        <w:t xml:space="preserve">The source data distinguish borderline tumours from both benign/normal cases and invasive cancer. I therefore repeat the pooled </w:t>
      </w:r>
      <m:oMath>
        <m:r>
          <w:rPr>
            <w:rFonts w:ascii="Cambria Math" w:hAnsi="Cambria Math"/>
          </w:rPr>
          <m:t>5</m:t>
        </m:r>
        <m:r>
          <m:rPr>
            <m:sty m:val="p"/>
          </m:rPr>
          <w:rPr>
            <w:rFonts w:ascii="Cambria Math" w:hAnsi="Cambria Math"/>
          </w:rPr>
          <m:t>×</m:t>
        </m:r>
        <m:r>
          <w:rPr>
            <w:rFonts w:ascii="Cambria Math" w:hAnsi="Cambria Math"/>
          </w:rPr>
          <m:t>5</m:t>
        </m:r>
      </m:oMath>
      <w:r>
        <w:t xml:space="preserve"> CV for SVM, random forest, and MLP under three policies: borderline as screening-positive (main analysis), excluded, and assigned to non-cancer. This comparison is deliberately run on the pooled cohort, because the question is how the </w:t>
      </w:r>
      <w:r>
        <w:rPr>
          <w:i/>
          <w:iCs/>
        </w:rPr>
        <w:t>target definition</w:t>
      </w:r>
      <w:r>
        <w:t xml:space="preserve"> changes the achievable error rate rather than how one fitted model generalises; for the same reason the numbers below are not held-out estimates and none of them was used to choose the reported model or its threshold.</w:t>
      </w:r>
      <w:r w:rsidR="00A45D24" w:rsidRPr="00A45D24">
        <w:t xml:space="preserve"> </w:t>
      </w:r>
    </w:p>
    <w:tbl>
      <w:tblPr>
        <w:tblStyle w:val="Table"/>
        <w:tblpPr w:leftFromText="180" w:rightFromText="180" w:vertAnchor="text" w:horzAnchor="margin" w:tblpY="948"/>
        <w:tblW w:w="0" w:type="auto"/>
        <w:tblLayout w:type="fixed"/>
        <w:tblLook w:val="0020" w:firstRow="1" w:lastRow="0" w:firstColumn="0" w:lastColumn="0" w:noHBand="0" w:noVBand="0"/>
      </w:tblPr>
      <w:tblGrid>
        <w:gridCol w:w="2154"/>
        <w:gridCol w:w="1814"/>
        <w:gridCol w:w="2268"/>
        <w:gridCol w:w="1587"/>
        <w:gridCol w:w="1587"/>
      </w:tblGrid>
      <w:tr w:rsidR="00A45D24" w14:paraId="66B6E941" w14:textId="77777777" w:rsidTr="00A45D24">
        <w:trPr>
          <w:cnfStyle w:val="100000000000" w:firstRow="1" w:lastRow="0" w:firstColumn="0" w:lastColumn="0" w:oddVBand="0" w:evenVBand="0" w:oddHBand="0" w:evenHBand="0" w:firstRowFirstColumn="0" w:firstRowLastColumn="0" w:lastRowFirstColumn="0" w:lastRowLastColumn="0"/>
          <w:cantSplit/>
          <w:tblHeader/>
        </w:trPr>
        <w:tc>
          <w:tcPr>
            <w:tcW w:w="2154" w:type="dxa"/>
          </w:tcPr>
          <w:p w14:paraId="1F047252" w14:textId="77777777" w:rsidR="00A45D24" w:rsidRDefault="00A45D24" w:rsidP="00A45D24">
            <w:pPr>
              <w:pStyle w:val="Compact"/>
            </w:pPr>
            <w:r>
              <w:rPr>
                <w:sz w:val="20"/>
              </w:rPr>
              <w:t>Borderline policy</w:t>
            </w:r>
          </w:p>
        </w:tc>
        <w:tc>
          <w:tcPr>
            <w:tcW w:w="1814" w:type="dxa"/>
          </w:tcPr>
          <w:p w14:paraId="08A26CF7" w14:textId="77777777" w:rsidR="00A45D24" w:rsidRDefault="00A45D24" w:rsidP="00A45D24">
            <w:pPr>
              <w:pStyle w:val="Compact"/>
            </w:pPr>
            <w:r>
              <w:rPr>
                <w:sz w:val="20"/>
              </w:rPr>
              <w:t>Model</w:t>
            </w:r>
          </w:p>
        </w:tc>
        <w:tc>
          <w:tcPr>
            <w:tcW w:w="2268" w:type="dxa"/>
          </w:tcPr>
          <w:p w14:paraId="5A3AE38C" w14:textId="77777777" w:rsidR="00A45D24" w:rsidRDefault="00A45D24" w:rsidP="00A45D24">
            <w:pPr>
              <w:pStyle w:val="Compact"/>
              <w:jc w:val="center"/>
            </w:pPr>
            <m:oMath>
              <m:r>
                <w:rPr>
                  <w:rFonts w:ascii="Cambria Math" w:hAnsi="Cambria Math"/>
                </w:rPr>
                <m:t>n</m:t>
              </m:r>
            </m:oMath>
            <w:r>
              <w:rPr>
                <w:sz w:val="20"/>
              </w:rPr>
              <w:t xml:space="preserve"> (cancer/non-cancer)</w:t>
            </w:r>
          </w:p>
        </w:tc>
        <w:tc>
          <w:tcPr>
            <w:tcW w:w="1587" w:type="dxa"/>
          </w:tcPr>
          <w:p w14:paraId="203844F5" w14:textId="77777777" w:rsidR="00A45D24" w:rsidRDefault="00A45D24" w:rsidP="00A45D24">
            <w:pPr>
              <w:pStyle w:val="Compact"/>
              <w:jc w:val="center"/>
            </w:pPr>
            <w:r>
              <w:rPr>
                <w:sz w:val="20"/>
              </w:rPr>
              <w:t>CV AUC</w:t>
            </w:r>
          </w:p>
        </w:tc>
        <w:tc>
          <w:tcPr>
            <w:tcW w:w="1587" w:type="dxa"/>
          </w:tcPr>
          <w:p w14:paraId="29BA2F57" w14:textId="77777777" w:rsidR="00A45D24" w:rsidRDefault="00A45D24" w:rsidP="00A45D24">
            <w:pPr>
              <w:pStyle w:val="Compact"/>
              <w:jc w:val="center"/>
            </w:pPr>
            <w:r>
              <w:rPr>
                <w:sz w:val="20"/>
              </w:rPr>
              <w:t>CV EER</w:t>
            </w:r>
          </w:p>
        </w:tc>
      </w:tr>
      <w:tr w:rsidR="00A45D24" w14:paraId="1EE67E11" w14:textId="77777777" w:rsidTr="00A45D24">
        <w:trPr>
          <w:cantSplit/>
        </w:trPr>
        <w:tc>
          <w:tcPr>
            <w:tcW w:w="2154" w:type="dxa"/>
          </w:tcPr>
          <w:p w14:paraId="121F5BDA" w14:textId="77777777" w:rsidR="00A45D24" w:rsidRDefault="00A45D24" w:rsidP="00A45D24">
            <w:pPr>
              <w:pStyle w:val="Compact"/>
            </w:pPr>
            <w:r>
              <w:rPr>
                <w:sz w:val="20"/>
              </w:rPr>
              <w:t>Cancer</w:t>
            </w:r>
          </w:p>
        </w:tc>
        <w:tc>
          <w:tcPr>
            <w:tcW w:w="1814" w:type="dxa"/>
          </w:tcPr>
          <w:p w14:paraId="581369A0" w14:textId="77777777" w:rsidR="00A45D24" w:rsidRDefault="00A45D24" w:rsidP="00A45D24">
            <w:pPr>
              <w:pStyle w:val="Compact"/>
            </w:pPr>
            <w:r>
              <w:rPr>
                <w:sz w:val="20"/>
              </w:rPr>
              <w:t>SVM-RBF</w:t>
            </w:r>
          </w:p>
        </w:tc>
        <w:tc>
          <w:tcPr>
            <w:tcW w:w="2268" w:type="dxa"/>
          </w:tcPr>
          <w:p w14:paraId="7BC7F823" w14:textId="77777777" w:rsidR="00A45D24" w:rsidRDefault="00A45D24" w:rsidP="00A45D24">
            <w:pPr>
              <w:pStyle w:val="Compact"/>
              <w:jc w:val="center"/>
            </w:pPr>
            <w:r>
              <w:rPr>
                <w:sz w:val="20"/>
              </w:rPr>
              <w:t>109 (53/56)</w:t>
            </w:r>
          </w:p>
        </w:tc>
        <w:tc>
          <w:tcPr>
            <w:tcW w:w="1587" w:type="dxa"/>
          </w:tcPr>
          <w:p w14:paraId="41874ED3" w14:textId="77777777" w:rsidR="00A45D24" w:rsidRDefault="00A45D24" w:rsidP="00A45D24">
            <w:pPr>
              <w:pStyle w:val="Compact"/>
              <w:jc w:val="center"/>
            </w:pPr>
            <w:r>
              <w:rPr>
                <w:sz w:val="20"/>
              </w:rPr>
              <w:t>0.809 ± 0.085</w:t>
            </w:r>
          </w:p>
        </w:tc>
        <w:tc>
          <w:tcPr>
            <w:tcW w:w="1587" w:type="dxa"/>
          </w:tcPr>
          <w:p w14:paraId="7EE7D515" w14:textId="77777777" w:rsidR="00A45D24" w:rsidRDefault="00A45D24" w:rsidP="00A45D24">
            <w:pPr>
              <w:pStyle w:val="Compact"/>
              <w:jc w:val="center"/>
            </w:pPr>
            <w:r>
              <w:rPr>
                <w:sz w:val="20"/>
              </w:rPr>
              <w:t>0.282 ± 0.091</w:t>
            </w:r>
          </w:p>
        </w:tc>
      </w:tr>
      <w:tr w:rsidR="00A45D24" w14:paraId="16DD0DCB" w14:textId="77777777" w:rsidTr="00A45D24">
        <w:trPr>
          <w:cantSplit/>
        </w:trPr>
        <w:tc>
          <w:tcPr>
            <w:tcW w:w="2154" w:type="dxa"/>
          </w:tcPr>
          <w:p w14:paraId="0B7F1A56" w14:textId="77777777" w:rsidR="00A45D24" w:rsidRDefault="00A45D24" w:rsidP="00A45D24">
            <w:pPr>
              <w:pStyle w:val="Compact"/>
            </w:pPr>
            <w:r>
              <w:rPr>
                <w:sz w:val="20"/>
              </w:rPr>
              <w:t>Cancer</w:t>
            </w:r>
          </w:p>
        </w:tc>
        <w:tc>
          <w:tcPr>
            <w:tcW w:w="1814" w:type="dxa"/>
          </w:tcPr>
          <w:p w14:paraId="262205A6" w14:textId="77777777" w:rsidR="00A45D24" w:rsidRDefault="00A45D24" w:rsidP="00A45D24">
            <w:pPr>
              <w:pStyle w:val="Compact"/>
            </w:pPr>
            <w:r>
              <w:rPr>
                <w:sz w:val="20"/>
              </w:rPr>
              <w:t>RandomForest</w:t>
            </w:r>
          </w:p>
        </w:tc>
        <w:tc>
          <w:tcPr>
            <w:tcW w:w="2268" w:type="dxa"/>
          </w:tcPr>
          <w:p w14:paraId="023F71D2" w14:textId="77777777" w:rsidR="00A45D24" w:rsidRDefault="00A45D24" w:rsidP="00A45D24">
            <w:pPr>
              <w:pStyle w:val="Compact"/>
              <w:jc w:val="center"/>
            </w:pPr>
            <w:r>
              <w:rPr>
                <w:sz w:val="20"/>
              </w:rPr>
              <w:t>109 (53/56)</w:t>
            </w:r>
          </w:p>
        </w:tc>
        <w:tc>
          <w:tcPr>
            <w:tcW w:w="1587" w:type="dxa"/>
          </w:tcPr>
          <w:p w14:paraId="56FE47D3" w14:textId="77777777" w:rsidR="00A45D24" w:rsidRDefault="00A45D24" w:rsidP="00A45D24">
            <w:pPr>
              <w:pStyle w:val="Compact"/>
              <w:jc w:val="center"/>
            </w:pPr>
            <w:r>
              <w:rPr>
                <w:sz w:val="20"/>
              </w:rPr>
              <w:t>0.845 ± 0.066</w:t>
            </w:r>
          </w:p>
        </w:tc>
        <w:tc>
          <w:tcPr>
            <w:tcW w:w="1587" w:type="dxa"/>
          </w:tcPr>
          <w:p w14:paraId="74164EE1" w14:textId="77777777" w:rsidR="00A45D24" w:rsidRDefault="00A45D24" w:rsidP="00A45D24">
            <w:pPr>
              <w:pStyle w:val="Compact"/>
              <w:jc w:val="center"/>
            </w:pPr>
            <w:r>
              <w:rPr>
                <w:sz w:val="20"/>
              </w:rPr>
              <w:t>0.245 ± 0.089</w:t>
            </w:r>
          </w:p>
        </w:tc>
      </w:tr>
      <w:tr w:rsidR="00A45D24" w14:paraId="1F2EF762" w14:textId="77777777" w:rsidTr="00A45D24">
        <w:trPr>
          <w:cantSplit/>
        </w:trPr>
        <w:tc>
          <w:tcPr>
            <w:tcW w:w="2154" w:type="dxa"/>
          </w:tcPr>
          <w:p w14:paraId="3966E88F" w14:textId="77777777" w:rsidR="00A45D24" w:rsidRDefault="00A45D24" w:rsidP="00A45D24">
            <w:pPr>
              <w:pStyle w:val="Compact"/>
            </w:pPr>
            <w:r>
              <w:rPr>
                <w:sz w:val="20"/>
              </w:rPr>
              <w:t>Cancer</w:t>
            </w:r>
          </w:p>
        </w:tc>
        <w:tc>
          <w:tcPr>
            <w:tcW w:w="1814" w:type="dxa"/>
          </w:tcPr>
          <w:p w14:paraId="3BF47830" w14:textId="77777777" w:rsidR="00A45D24" w:rsidRDefault="00A45D24" w:rsidP="00A45D24">
            <w:pPr>
              <w:pStyle w:val="Compact"/>
            </w:pPr>
            <w:r>
              <w:rPr>
                <w:sz w:val="20"/>
              </w:rPr>
              <w:t>MLP-BP</w:t>
            </w:r>
          </w:p>
        </w:tc>
        <w:tc>
          <w:tcPr>
            <w:tcW w:w="2268" w:type="dxa"/>
          </w:tcPr>
          <w:p w14:paraId="2CB392CB" w14:textId="77777777" w:rsidR="00A45D24" w:rsidRDefault="00A45D24" w:rsidP="00A45D24">
            <w:pPr>
              <w:pStyle w:val="Compact"/>
              <w:jc w:val="center"/>
            </w:pPr>
            <w:r>
              <w:rPr>
                <w:sz w:val="20"/>
              </w:rPr>
              <w:t>109 (53/56)</w:t>
            </w:r>
          </w:p>
        </w:tc>
        <w:tc>
          <w:tcPr>
            <w:tcW w:w="1587" w:type="dxa"/>
          </w:tcPr>
          <w:p w14:paraId="001348EC" w14:textId="77777777" w:rsidR="00A45D24" w:rsidRDefault="00A45D24" w:rsidP="00A45D24">
            <w:pPr>
              <w:pStyle w:val="Compact"/>
              <w:jc w:val="center"/>
            </w:pPr>
            <w:r>
              <w:rPr>
                <w:sz w:val="20"/>
              </w:rPr>
              <w:t>0.764 ± 0.083</w:t>
            </w:r>
          </w:p>
        </w:tc>
        <w:tc>
          <w:tcPr>
            <w:tcW w:w="1587" w:type="dxa"/>
          </w:tcPr>
          <w:p w14:paraId="7EE12AAC" w14:textId="77777777" w:rsidR="00A45D24" w:rsidRDefault="00A45D24" w:rsidP="00A45D24">
            <w:pPr>
              <w:pStyle w:val="Compact"/>
              <w:jc w:val="center"/>
            </w:pPr>
            <w:r>
              <w:rPr>
                <w:sz w:val="20"/>
              </w:rPr>
              <w:t>0.286 ± 0.074</w:t>
            </w:r>
          </w:p>
        </w:tc>
      </w:tr>
      <w:tr w:rsidR="00A45D24" w14:paraId="19F6FE6F" w14:textId="77777777" w:rsidTr="00A45D24">
        <w:trPr>
          <w:cantSplit/>
        </w:trPr>
        <w:tc>
          <w:tcPr>
            <w:tcW w:w="2154" w:type="dxa"/>
          </w:tcPr>
          <w:p w14:paraId="67D52545" w14:textId="77777777" w:rsidR="00A45D24" w:rsidRDefault="00A45D24" w:rsidP="00A45D24">
            <w:pPr>
              <w:pStyle w:val="Compact"/>
            </w:pPr>
            <w:r>
              <w:rPr>
                <w:sz w:val="20"/>
              </w:rPr>
              <w:t>Excluded</w:t>
            </w:r>
          </w:p>
        </w:tc>
        <w:tc>
          <w:tcPr>
            <w:tcW w:w="1814" w:type="dxa"/>
          </w:tcPr>
          <w:p w14:paraId="7703AA85" w14:textId="77777777" w:rsidR="00A45D24" w:rsidRDefault="00A45D24" w:rsidP="00A45D24">
            <w:pPr>
              <w:pStyle w:val="Compact"/>
            </w:pPr>
            <w:r>
              <w:rPr>
                <w:sz w:val="20"/>
              </w:rPr>
              <w:t>SVM-RBF</w:t>
            </w:r>
          </w:p>
        </w:tc>
        <w:tc>
          <w:tcPr>
            <w:tcW w:w="2268" w:type="dxa"/>
          </w:tcPr>
          <w:p w14:paraId="62B1A414" w14:textId="77777777" w:rsidR="00A45D24" w:rsidRDefault="00A45D24" w:rsidP="00A45D24">
            <w:pPr>
              <w:pStyle w:val="Compact"/>
              <w:jc w:val="center"/>
            </w:pPr>
            <w:r>
              <w:rPr>
                <w:sz w:val="20"/>
              </w:rPr>
              <w:t>104 (48/56)</w:t>
            </w:r>
          </w:p>
        </w:tc>
        <w:tc>
          <w:tcPr>
            <w:tcW w:w="1587" w:type="dxa"/>
          </w:tcPr>
          <w:p w14:paraId="53F08588" w14:textId="77777777" w:rsidR="00A45D24" w:rsidRDefault="00A45D24" w:rsidP="00A45D24">
            <w:pPr>
              <w:pStyle w:val="Compact"/>
              <w:jc w:val="center"/>
            </w:pPr>
            <w:r>
              <w:rPr>
                <w:sz w:val="20"/>
              </w:rPr>
              <w:t>0.828 ± 0.078</w:t>
            </w:r>
          </w:p>
        </w:tc>
        <w:tc>
          <w:tcPr>
            <w:tcW w:w="1587" w:type="dxa"/>
          </w:tcPr>
          <w:p w14:paraId="4D3F8C52" w14:textId="77777777" w:rsidR="00A45D24" w:rsidRDefault="00A45D24" w:rsidP="00A45D24">
            <w:pPr>
              <w:pStyle w:val="Compact"/>
              <w:jc w:val="center"/>
            </w:pPr>
            <w:r>
              <w:rPr>
                <w:sz w:val="20"/>
              </w:rPr>
              <w:t>0.250 ± 0.095</w:t>
            </w:r>
          </w:p>
        </w:tc>
      </w:tr>
      <w:tr w:rsidR="00A45D24" w14:paraId="4DFDCC7F" w14:textId="77777777" w:rsidTr="00A45D24">
        <w:trPr>
          <w:cantSplit/>
        </w:trPr>
        <w:tc>
          <w:tcPr>
            <w:tcW w:w="2154" w:type="dxa"/>
          </w:tcPr>
          <w:p w14:paraId="338B973B" w14:textId="77777777" w:rsidR="00A45D24" w:rsidRDefault="00A45D24" w:rsidP="00A45D24">
            <w:pPr>
              <w:pStyle w:val="Compact"/>
            </w:pPr>
            <w:r>
              <w:rPr>
                <w:sz w:val="20"/>
              </w:rPr>
              <w:t>Excluded</w:t>
            </w:r>
          </w:p>
        </w:tc>
        <w:tc>
          <w:tcPr>
            <w:tcW w:w="1814" w:type="dxa"/>
          </w:tcPr>
          <w:p w14:paraId="0D358109" w14:textId="77777777" w:rsidR="00A45D24" w:rsidRDefault="00A45D24" w:rsidP="00A45D24">
            <w:pPr>
              <w:pStyle w:val="Compact"/>
            </w:pPr>
            <w:r>
              <w:rPr>
                <w:sz w:val="20"/>
              </w:rPr>
              <w:t>RandomForest</w:t>
            </w:r>
          </w:p>
        </w:tc>
        <w:tc>
          <w:tcPr>
            <w:tcW w:w="2268" w:type="dxa"/>
          </w:tcPr>
          <w:p w14:paraId="58A3FE80" w14:textId="77777777" w:rsidR="00A45D24" w:rsidRDefault="00A45D24" w:rsidP="00A45D24">
            <w:pPr>
              <w:pStyle w:val="Compact"/>
              <w:jc w:val="center"/>
            </w:pPr>
            <w:r>
              <w:rPr>
                <w:sz w:val="20"/>
              </w:rPr>
              <w:t>104 (48/56)</w:t>
            </w:r>
          </w:p>
        </w:tc>
        <w:tc>
          <w:tcPr>
            <w:tcW w:w="1587" w:type="dxa"/>
          </w:tcPr>
          <w:p w14:paraId="2667523D" w14:textId="77777777" w:rsidR="00A45D24" w:rsidRDefault="00A45D24" w:rsidP="00A45D24">
            <w:pPr>
              <w:pStyle w:val="Compact"/>
              <w:jc w:val="center"/>
            </w:pPr>
            <w:r>
              <w:rPr>
                <w:sz w:val="20"/>
              </w:rPr>
              <w:t>0.882 ± 0.065</w:t>
            </w:r>
          </w:p>
        </w:tc>
        <w:tc>
          <w:tcPr>
            <w:tcW w:w="1587" w:type="dxa"/>
          </w:tcPr>
          <w:p w14:paraId="64CAAA8D" w14:textId="77777777" w:rsidR="00A45D24" w:rsidRDefault="00A45D24" w:rsidP="00A45D24">
            <w:pPr>
              <w:pStyle w:val="Compact"/>
              <w:jc w:val="center"/>
            </w:pPr>
            <w:r>
              <w:rPr>
                <w:sz w:val="20"/>
              </w:rPr>
              <w:t>0.195 ± 0.082</w:t>
            </w:r>
          </w:p>
        </w:tc>
      </w:tr>
      <w:tr w:rsidR="00A45D24" w14:paraId="7AAC96EC" w14:textId="77777777" w:rsidTr="00A45D24">
        <w:trPr>
          <w:cantSplit/>
        </w:trPr>
        <w:tc>
          <w:tcPr>
            <w:tcW w:w="2154" w:type="dxa"/>
          </w:tcPr>
          <w:p w14:paraId="1C9B05D8" w14:textId="77777777" w:rsidR="00A45D24" w:rsidRDefault="00A45D24" w:rsidP="00A45D24">
            <w:pPr>
              <w:pStyle w:val="Compact"/>
            </w:pPr>
            <w:r>
              <w:rPr>
                <w:sz w:val="20"/>
              </w:rPr>
              <w:t>Excluded</w:t>
            </w:r>
          </w:p>
        </w:tc>
        <w:tc>
          <w:tcPr>
            <w:tcW w:w="1814" w:type="dxa"/>
          </w:tcPr>
          <w:p w14:paraId="023C03EB" w14:textId="77777777" w:rsidR="00A45D24" w:rsidRDefault="00A45D24" w:rsidP="00A45D24">
            <w:pPr>
              <w:pStyle w:val="Compact"/>
            </w:pPr>
            <w:r>
              <w:rPr>
                <w:sz w:val="20"/>
              </w:rPr>
              <w:t>MLP-BP</w:t>
            </w:r>
          </w:p>
        </w:tc>
        <w:tc>
          <w:tcPr>
            <w:tcW w:w="2268" w:type="dxa"/>
          </w:tcPr>
          <w:p w14:paraId="536EF6AF" w14:textId="77777777" w:rsidR="00A45D24" w:rsidRDefault="00A45D24" w:rsidP="00A45D24">
            <w:pPr>
              <w:pStyle w:val="Compact"/>
              <w:jc w:val="center"/>
            </w:pPr>
            <w:r>
              <w:rPr>
                <w:sz w:val="20"/>
              </w:rPr>
              <w:t>104 (48/56)</w:t>
            </w:r>
          </w:p>
        </w:tc>
        <w:tc>
          <w:tcPr>
            <w:tcW w:w="1587" w:type="dxa"/>
          </w:tcPr>
          <w:p w14:paraId="62FA66C6" w14:textId="77777777" w:rsidR="00A45D24" w:rsidRDefault="00A45D24" w:rsidP="00A45D24">
            <w:pPr>
              <w:pStyle w:val="Compact"/>
              <w:jc w:val="center"/>
            </w:pPr>
            <w:r>
              <w:rPr>
                <w:sz w:val="20"/>
              </w:rPr>
              <w:t>0.762 ± 0.091</w:t>
            </w:r>
          </w:p>
        </w:tc>
        <w:tc>
          <w:tcPr>
            <w:tcW w:w="1587" w:type="dxa"/>
          </w:tcPr>
          <w:p w14:paraId="3B45AA8C" w14:textId="77777777" w:rsidR="00A45D24" w:rsidRDefault="00A45D24" w:rsidP="00A45D24">
            <w:pPr>
              <w:pStyle w:val="Compact"/>
              <w:jc w:val="center"/>
            </w:pPr>
            <w:r>
              <w:rPr>
                <w:sz w:val="20"/>
              </w:rPr>
              <w:t>0.282 ± 0.092</w:t>
            </w:r>
          </w:p>
        </w:tc>
      </w:tr>
      <w:tr w:rsidR="00A45D24" w14:paraId="47FD478F" w14:textId="77777777" w:rsidTr="00A45D24">
        <w:trPr>
          <w:cantSplit/>
        </w:trPr>
        <w:tc>
          <w:tcPr>
            <w:tcW w:w="2154" w:type="dxa"/>
          </w:tcPr>
          <w:p w14:paraId="4A26C250" w14:textId="77777777" w:rsidR="00A45D24" w:rsidRDefault="00A45D24" w:rsidP="00A45D24">
            <w:pPr>
              <w:pStyle w:val="Compact"/>
            </w:pPr>
            <w:r>
              <w:rPr>
                <w:sz w:val="20"/>
              </w:rPr>
              <w:t>Non-cancer</w:t>
            </w:r>
          </w:p>
        </w:tc>
        <w:tc>
          <w:tcPr>
            <w:tcW w:w="1814" w:type="dxa"/>
          </w:tcPr>
          <w:p w14:paraId="4BF9442A" w14:textId="77777777" w:rsidR="00A45D24" w:rsidRDefault="00A45D24" w:rsidP="00A45D24">
            <w:pPr>
              <w:pStyle w:val="Compact"/>
            </w:pPr>
            <w:r>
              <w:rPr>
                <w:sz w:val="20"/>
              </w:rPr>
              <w:t>SVM-RBF</w:t>
            </w:r>
          </w:p>
        </w:tc>
        <w:tc>
          <w:tcPr>
            <w:tcW w:w="2268" w:type="dxa"/>
          </w:tcPr>
          <w:p w14:paraId="34B8D594" w14:textId="77777777" w:rsidR="00A45D24" w:rsidRDefault="00A45D24" w:rsidP="00A45D24">
            <w:pPr>
              <w:pStyle w:val="Compact"/>
              <w:jc w:val="center"/>
            </w:pPr>
            <w:r>
              <w:rPr>
                <w:sz w:val="20"/>
              </w:rPr>
              <w:t>109 (48/61)</w:t>
            </w:r>
          </w:p>
        </w:tc>
        <w:tc>
          <w:tcPr>
            <w:tcW w:w="1587" w:type="dxa"/>
          </w:tcPr>
          <w:p w14:paraId="31E64BD5" w14:textId="77777777" w:rsidR="00A45D24" w:rsidRDefault="00A45D24" w:rsidP="00A45D24">
            <w:pPr>
              <w:pStyle w:val="Compact"/>
              <w:jc w:val="center"/>
            </w:pPr>
            <w:r>
              <w:rPr>
                <w:sz w:val="20"/>
              </w:rPr>
              <w:t>0.832 ± 0.086</w:t>
            </w:r>
          </w:p>
        </w:tc>
        <w:tc>
          <w:tcPr>
            <w:tcW w:w="1587" w:type="dxa"/>
          </w:tcPr>
          <w:p w14:paraId="6AF805A4" w14:textId="77777777" w:rsidR="00A45D24" w:rsidRDefault="00A45D24" w:rsidP="00A45D24">
            <w:pPr>
              <w:pStyle w:val="Compact"/>
              <w:jc w:val="center"/>
            </w:pPr>
            <w:r>
              <w:rPr>
                <w:sz w:val="20"/>
              </w:rPr>
              <w:t>0.243 ± 0.077</w:t>
            </w:r>
          </w:p>
        </w:tc>
      </w:tr>
      <w:tr w:rsidR="00A45D24" w14:paraId="1825E673" w14:textId="77777777" w:rsidTr="00A45D24">
        <w:trPr>
          <w:cantSplit/>
        </w:trPr>
        <w:tc>
          <w:tcPr>
            <w:tcW w:w="2154" w:type="dxa"/>
          </w:tcPr>
          <w:p w14:paraId="5AAF10D7" w14:textId="77777777" w:rsidR="00A45D24" w:rsidRDefault="00A45D24" w:rsidP="00A45D24">
            <w:pPr>
              <w:pStyle w:val="Compact"/>
            </w:pPr>
            <w:r>
              <w:rPr>
                <w:sz w:val="20"/>
              </w:rPr>
              <w:t>Non-cancer</w:t>
            </w:r>
          </w:p>
        </w:tc>
        <w:tc>
          <w:tcPr>
            <w:tcW w:w="1814" w:type="dxa"/>
          </w:tcPr>
          <w:p w14:paraId="0925E46C" w14:textId="77777777" w:rsidR="00A45D24" w:rsidRDefault="00A45D24" w:rsidP="00A45D24">
            <w:pPr>
              <w:pStyle w:val="Compact"/>
            </w:pPr>
            <w:r>
              <w:rPr>
                <w:sz w:val="20"/>
              </w:rPr>
              <w:t>RandomForest</w:t>
            </w:r>
          </w:p>
        </w:tc>
        <w:tc>
          <w:tcPr>
            <w:tcW w:w="2268" w:type="dxa"/>
          </w:tcPr>
          <w:p w14:paraId="0DB8AE52" w14:textId="77777777" w:rsidR="00A45D24" w:rsidRDefault="00A45D24" w:rsidP="00A45D24">
            <w:pPr>
              <w:pStyle w:val="Compact"/>
              <w:jc w:val="center"/>
            </w:pPr>
            <w:r>
              <w:rPr>
                <w:sz w:val="20"/>
              </w:rPr>
              <w:t>109 (48/61)</w:t>
            </w:r>
          </w:p>
        </w:tc>
        <w:tc>
          <w:tcPr>
            <w:tcW w:w="1587" w:type="dxa"/>
          </w:tcPr>
          <w:p w14:paraId="01044447" w14:textId="77777777" w:rsidR="00A45D24" w:rsidRDefault="00A45D24" w:rsidP="00A45D24">
            <w:pPr>
              <w:pStyle w:val="Compact"/>
              <w:jc w:val="center"/>
            </w:pPr>
            <w:r>
              <w:rPr>
                <w:sz w:val="20"/>
              </w:rPr>
              <w:t>0.885 ± 0.066</w:t>
            </w:r>
          </w:p>
        </w:tc>
        <w:tc>
          <w:tcPr>
            <w:tcW w:w="1587" w:type="dxa"/>
          </w:tcPr>
          <w:p w14:paraId="1BBC0C05" w14:textId="77777777" w:rsidR="00A45D24" w:rsidRDefault="00A45D24" w:rsidP="00A45D24">
            <w:pPr>
              <w:pStyle w:val="Compact"/>
              <w:jc w:val="center"/>
            </w:pPr>
            <w:r>
              <w:rPr>
                <w:sz w:val="20"/>
              </w:rPr>
              <w:t>0.196 ± 0.082</w:t>
            </w:r>
          </w:p>
        </w:tc>
      </w:tr>
      <w:tr w:rsidR="00A45D24" w14:paraId="4E7DC2A7" w14:textId="77777777" w:rsidTr="00A45D24">
        <w:trPr>
          <w:cantSplit/>
        </w:trPr>
        <w:tc>
          <w:tcPr>
            <w:tcW w:w="2154" w:type="dxa"/>
          </w:tcPr>
          <w:p w14:paraId="01068576" w14:textId="77777777" w:rsidR="00A45D24" w:rsidRDefault="00A45D24" w:rsidP="00A45D24">
            <w:pPr>
              <w:pStyle w:val="Compact"/>
            </w:pPr>
            <w:r>
              <w:rPr>
                <w:sz w:val="20"/>
              </w:rPr>
              <w:t>Non-cancer</w:t>
            </w:r>
          </w:p>
        </w:tc>
        <w:tc>
          <w:tcPr>
            <w:tcW w:w="1814" w:type="dxa"/>
          </w:tcPr>
          <w:p w14:paraId="723ABA1F" w14:textId="77777777" w:rsidR="00A45D24" w:rsidRDefault="00A45D24" w:rsidP="00A45D24">
            <w:pPr>
              <w:pStyle w:val="Compact"/>
            </w:pPr>
            <w:r>
              <w:rPr>
                <w:sz w:val="20"/>
              </w:rPr>
              <w:t>MLP-BP</w:t>
            </w:r>
          </w:p>
        </w:tc>
        <w:tc>
          <w:tcPr>
            <w:tcW w:w="2268" w:type="dxa"/>
          </w:tcPr>
          <w:p w14:paraId="52032CF0" w14:textId="77777777" w:rsidR="00A45D24" w:rsidRDefault="00A45D24" w:rsidP="00A45D24">
            <w:pPr>
              <w:pStyle w:val="Compact"/>
              <w:jc w:val="center"/>
            </w:pPr>
            <w:r>
              <w:rPr>
                <w:sz w:val="20"/>
              </w:rPr>
              <w:t>109 (48/61)</w:t>
            </w:r>
          </w:p>
        </w:tc>
        <w:tc>
          <w:tcPr>
            <w:tcW w:w="1587" w:type="dxa"/>
          </w:tcPr>
          <w:p w14:paraId="5EDFCF93" w14:textId="77777777" w:rsidR="00A45D24" w:rsidRDefault="00A45D24" w:rsidP="00A45D24">
            <w:pPr>
              <w:pStyle w:val="Compact"/>
              <w:jc w:val="center"/>
            </w:pPr>
            <w:r>
              <w:rPr>
                <w:sz w:val="20"/>
              </w:rPr>
              <w:t>0.779 ± 0.104</w:t>
            </w:r>
          </w:p>
        </w:tc>
        <w:tc>
          <w:tcPr>
            <w:tcW w:w="1587" w:type="dxa"/>
          </w:tcPr>
          <w:p w14:paraId="4B2B12D1" w14:textId="77777777" w:rsidR="00A45D24" w:rsidRDefault="00A45D24" w:rsidP="00A45D24">
            <w:pPr>
              <w:pStyle w:val="Compact"/>
              <w:jc w:val="center"/>
            </w:pPr>
            <w:r>
              <w:rPr>
                <w:sz w:val="20"/>
              </w:rPr>
              <w:t>0.256 ± 0.120</w:t>
            </w:r>
          </w:p>
        </w:tc>
      </w:tr>
    </w:tbl>
    <w:p w14:paraId="0527D1B7" w14:textId="3F644FBE" w:rsidR="00A45D24" w:rsidRPr="00A45D24" w:rsidRDefault="00A45D24" w:rsidP="00A45D24">
      <w:pPr>
        <w:pStyle w:val="FirstParagraph"/>
      </w:pPr>
      <w:r>
        <w:t>Table 2: NUH borderline-label sensitivity. Counts are retained total cases with cancer/non-cancer counts in parentheses.</w:t>
      </w:r>
    </w:p>
    <w:p w14:paraId="74819B25" w14:textId="77777777" w:rsidR="00A45D24" w:rsidRDefault="00A45D24">
      <w:pPr>
        <w:pStyle w:val="BodyText"/>
      </w:pPr>
    </w:p>
    <w:p w14:paraId="61067716" w14:textId="7516532B" w:rsidR="005F2D07" w:rsidRDefault="00000000">
      <w:pPr>
        <w:pStyle w:val="BodyText"/>
      </w:pPr>
      <w:r>
        <w:t xml:space="preserve">The policy materially changes the point estimates. For random forest, excluding borderline cases changes CV AUC/EER from </w:t>
      </w:r>
      <m:oMath>
        <m:r>
          <w:rPr>
            <w:rFonts w:ascii="Cambria Math" w:hAnsi="Cambria Math"/>
          </w:rPr>
          <m:t>0.845</m:t>
        </m:r>
        <m:r>
          <m:rPr>
            <m:sty m:val="p"/>
          </m:rPr>
          <w:rPr>
            <w:rFonts w:ascii="Cambria Math" w:hAnsi="Cambria Math"/>
          </w:rPr>
          <m:t>/</m:t>
        </m:r>
        <m:r>
          <w:rPr>
            <w:rFonts w:ascii="Cambria Math" w:hAnsi="Cambria Math"/>
          </w:rPr>
          <m:t>0.245</m:t>
        </m:r>
      </m:oMath>
      <w:r>
        <w:t xml:space="preserve"> to </w:t>
      </w:r>
      <m:oMath>
        <m:r>
          <w:rPr>
            <w:rFonts w:ascii="Cambria Math" w:hAnsi="Cambria Math"/>
          </w:rPr>
          <m:t>0.882</m:t>
        </m:r>
        <m:r>
          <m:rPr>
            <m:sty m:val="p"/>
          </m:rPr>
          <w:rPr>
            <w:rFonts w:ascii="Cambria Math" w:hAnsi="Cambria Math"/>
          </w:rPr>
          <m:t>/</m:t>
        </m:r>
        <m:r>
          <w:rPr>
            <w:rFonts w:ascii="Cambria Math" w:hAnsi="Cambria Math"/>
          </w:rPr>
          <m:t>0.195</m:t>
        </m:r>
      </m:oMath>
      <w:r>
        <w:t xml:space="preserve">; assigning them to non-cancer gives </w:t>
      </w:r>
      <m:oMath>
        <m:r>
          <w:rPr>
            <w:rFonts w:ascii="Cambria Math" w:hAnsi="Cambria Math"/>
          </w:rPr>
          <m:t>0.885</m:t>
        </m:r>
        <m:r>
          <m:rPr>
            <m:sty m:val="p"/>
          </m:rPr>
          <w:rPr>
            <w:rFonts w:ascii="Cambria Math" w:hAnsi="Cambria Math"/>
          </w:rPr>
          <m:t>/</m:t>
        </m:r>
        <m:r>
          <w:rPr>
            <w:rFonts w:ascii="Cambria Math" w:hAnsi="Cambria Math"/>
          </w:rPr>
          <m:t>0.196</m:t>
        </m:r>
      </m:oMath>
      <w:r>
        <w:t xml:space="preserve">. SVM EER changes from </w:t>
      </w:r>
      <m:oMath>
        <m:r>
          <w:rPr>
            <w:rFonts w:ascii="Cambria Math" w:hAnsi="Cambria Math"/>
          </w:rPr>
          <m:t>0.282</m:t>
        </m:r>
      </m:oMath>
      <w:r>
        <w:t xml:space="preserve"> to </w:t>
      </w:r>
      <m:oMath>
        <m:r>
          <w:rPr>
            <w:rFonts w:ascii="Cambria Math" w:hAnsi="Cambria Math"/>
          </w:rPr>
          <m:t>0.250</m:t>
        </m:r>
      </m:oMath>
      <w:r>
        <w:t xml:space="preserve"> or </w:t>
      </w:r>
      <m:oMath>
        <m:r>
          <w:rPr>
            <w:rFonts w:ascii="Cambria Math" w:hAnsi="Cambria Math"/>
          </w:rPr>
          <m:t>0.243</m:t>
        </m:r>
      </m:oMath>
      <w:r>
        <w:t xml:space="preserve">, while MLP changes from </w:t>
      </w:r>
      <m:oMath>
        <m:r>
          <w:rPr>
            <w:rFonts w:ascii="Cambria Math" w:hAnsi="Cambria Math"/>
          </w:rPr>
          <m:t>0.286</m:t>
        </m:r>
      </m:oMath>
      <w:r>
        <w:t xml:space="preserve"> to </w:t>
      </w:r>
      <m:oMath>
        <m:r>
          <w:rPr>
            <w:rFonts w:ascii="Cambria Math" w:hAnsi="Cambria Math"/>
          </w:rPr>
          <m:t>0.282</m:t>
        </m:r>
      </m:oMath>
      <w:r>
        <w:t xml:space="preserve"> or </w:t>
      </w:r>
      <m:oMath>
        <m:r>
          <w:rPr>
            <w:rFonts w:ascii="Cambria Math" w:hAnsi="Cambria Math"/>
          </w:rPr>
          <m:t>0.256</m:t>
        </m:r>
      </m:oMath>
      <w:r>
        <w:t>. These differences are consistent with borderline cases being difficult to distinguish from benign cases [1], but the fold-wise spreads overlap and the sample contains only five borderline patients. The experiment demonstrates sensitivity to the target definition; it does not establish that labelling borderline cases as non-cancer is clinically preferable. The main screening-positive policy is retained because it is the more conservative choice when false negatives are considered more serious.</w:t>
      </w:r>
    </w:p>
    <w:p w14:paraId="501375E3" w14:textId="77777777" w:rsidR="005F2D07" w:rsidRDefault="00000000">
      <w:pPr>
        <w:pStyle w:val="Heading2"/>
      </w:pPr>
      <w:bookmarkStart w:id="12" w:name="wdbc-sanity-check"/>
      <w:bookmarkEnd w:id="11"/>
      <w:r>
        <w:rPr>
          <w:rStyle w:val="SectionNumber"/>
        </w:rPr>
        <w:t>5.3</w:t>
      </w:r>
      <w:r>
        <w:tab/>
        <w:t>WDBC sanity check</w:t>
      </w:r>
    </w:p>
    <w:p w14:paraId="159E58B7" w14:textId="77777777" w:rsidR="005F2D07" w:rsidRDefault="00000000">
      <w:pPr>
        <w:pStyle w:val="FirstParagraph"/>
      </w:pPr>
      <w:r>
        <w:t xml:space="preserve">All reported models perform strongly on WDBC (Table 3): test AUC ranges from </w:t>
      </w:r>
      <m:oMath>
        <m:r>
          <w:rPr>
            <w:rFonts w:ascii="Cambria Math" w:hAnsi="Cambria Math"/>
          </w:rPr>
          <m:t>0.977</m:t>
        </m:r>
      </m:oMath>
      <w:r>
        <w:t xml:space="preserve"> to </w:t>
      </w:r>
      <m:oMath>
        <m:r>
          <w:rPr>
            <w:rFonts w:ascii="Cambria Math" w:hAnsi="Cambria Math"/>
          </w:rPr>
          <m:t>0.997</m:t>
        </m:r>
      </m:oMath>
      <w:r>
        <w:t xml:space="preserve">, rather than being strictly above </w:t>
      </w:r>
      <m:oMath>
        <m:r>
          <w:rPr>
            <w:rFonts w:ascii="Cambria Math" w:hAnsi="Cambria Math"/>
          </w:rPr>
          <m:t>0.98</m:t>
        </m:r>
      </m:oMath>
      <w:r>
        <w:t xml:space="preserve"> for every model. TabPFN has the best test AUC (</w:t>
      </w:r>
      <m:oMath>
        <m:r>
          <w:rPr>
            <w:rFonts w:ascii="Cambria Math" w:hAnsi="Cambria Math"/>
          </w:rPr>
          <m:t>0.997</m:t>
        </m:r>
      </m:oMath>
      <w:r>
        <w:t>), interpolated test EER (</w:t>
      </w:r>
      <m:oMath>
        <m:r>
          <w:rPr>
            <w:rFonts w:ascii="Cambria Math" w:hAnsi="Cambria Math"/>
          </w:rPr>
          <m:t>0.024</m:t>
        </m:r>
      </m:oMath>
      <w:r>
        <w:t>), pooled CV AUC (</w:t>
      </w:r>
      <m:oMath>
        <m:r>
          <w:rPr>
            <w:rFonts w:ascii="Cambria Math" w:hAnsi="Cambria Math"/>
          </w:rPr>
          <m:t>0.997</m:t>
        </m:r>
        <m:r>
          <m:rPr>
            <m:sty m:val="p"/>
          </m:rPr>
          <w:rPr>
            <w:rFonts w:ascii="Cambria Math" w:hAnsi="Cambria Math"/>
          </w:rPr>
          <m:t>±</m:t>
        </m:r>
        <m:r>
          <w:rPr>
            <w:rFonts w:ascii="Cambria Math" w:hAnsi="Cambria Math"/>
          </w:rPr>
          <m:t>0.004</m:t>
        </m:r>
      </m:oMath>
      <w:r>
        <w:t>), and pooled CV EER (</w:t>
      </w:r>
      <m:oMath>
        <m:r>
          <w:rPr>
            <w:rFonts w:ascii="Cambria Math" w:hAnsi="Cambria Math"/>
          </w:rPr>
          <m:t>0.023</m:t>
        </m:r>
        <m:r>
          <m:rPr>
            <m:sty m:val="p"/>
          </m:rPr>
          <w:rPr>
            <w:rFonts w:ascii="Cambria Math" w:hAnsi="Cambria Math"/>
          </w:rPr>
          <m:t>±</m:t>
        </m:r>
        <m:r>
          <w:rPr>
            <w:rFonts w:ascii="Cambria Math" w:hAnsi="Cambria Math"/>
          </w:rPr>
          <m:t>0.019</m:t>
        </m:r>
      </m:oMath>
      <w:r>
        <w:t>). WDBC is used only as an implementation check, so no model is selected on it and these figures are reported descriptively; the near-saturated results confirm that the ROC/EER pipeline behaves as expected on a larger, well-conditioned data set.</w:t>
      </w:r>
    </w:p>
    <w:p w14:paraId="76BE1063" w14:textId="77777777" w:rsidR="005F2D07" w:rsidRDefault="00000000">
      <w:pPr>
        <w:pStyle w:val="TableCaption"/>
      </w:pPr>
      <w:bookmarkStart w:id="13" w:name="tab:wdbc"/>
      <w:r>
        <w:t>Table 3: WDBC results. Definitions are the same as in Table 1.</w:t>
      </w:r>
    </w:p>
    <w:tbl>
      <w:tblPr>
        <w:tblStyle w:val="Table"/>
        <w:tblW w:w="0" w:type="auto"/>
        <w:jc w:val="center"/>
        <w:tblLayout w:type="fixed"/>
        <w:tblLook w:val="0020" w:firstRow="1" w:lastRow="0" w:firstColumn="0" w:lastColumn="0" w:noHBand="0" w:noVBand="0"/>
      </w:tblPr>
      <w:tblGrid>
        <w:gridCol w:w="2381"/>
        <w:gridCol w:w="1474"/>
        <w:gridCol w:w="1587"/>
        <w:gridCol w:w="1984"/>
        <w:gridCol w:w="1984"/>
      </w:tblGrid>
      <w:tr w:rsidR="005F2D07" w14:paraId="60E0C724" w14:textId="77777777" w:rsidTr="005F2D07">
        <w:trPr>
          <w:cnfStyle w:val="100000000000" w:firstRow="1" w:lastRow="0" w:firstColumn="0" w:lastColumn="0" w:oddVBand="0" w:evenVBand="0" w:oddHBand="0" w:evenHBand="0" w:firstRowFirstColumn="0" w:firstRowLastColumn="0" w:lastRowFirstColumn="0" w:lastRowLastColumn="0"/>
          <w:cantSplit/>
          <w:tblHeader/>
          <w:jc w:val="center"/>
        </w:trPr>
        <w:tc>
          <w:tcPr>
            <w:tcW w:w="2381" w:type="dxa"/>
          </w:tcPr>
          <w:p w14:paraId="748790BC" w14:textId="77777777" w:rsidR="005F2D07" w:rsidRDefault="00000000">
            <w:pPr>
              <w:pStyle w:val="Compact"/>
            </w:pPr>
            <w:r>
              <w:rPr>
                <w:sz w:val="20"/>
              </w:rPr>
              <w:t>Model</w:t>
            </w:r>
          </w:p>
        </w:tc>
        <w:tc>
          <w:tcPr>
            <w:tcW w:w="1474" w:type="dxa"/>
          </w:tcPr>
          <w:p w14:paraId="0FC8765C" w14:textId="77777777" w:rsidR="005F2D07" w:rsidRDefault="00000000">
            <w:pPr>
              <w:pStyle w:val="Compact"/>
              <w:jc w:val="center"/>
            </w:pPr>
            <w:r>
              <w:rPr>
                <w:sz w:val="20"/>
              </w:rPr>
              <w:t>Test AUC</w:t>
            </w:r>
          </w:p>
        </w:tc>
        <w:tc>
          <w:tcPr>
            <w:tcW w:w="1587" w:type="dxa"/>
          </w:tcPr>
          <w:p w14:paraId="187156DB" w14:textId="77777777" w:rsidR="005F2D07" w:rsidRDefault="00000000">
            <w:pPr>
              <w:pStyle w:val="Compact"/>
              <w:jc w:val="center"/>
            </w:pPr>
            <w:r>
              <w:rPr>
                <w:sz w:val="20"/>
              </w:rPr>
              <w:t>Test EER</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1984" w:type="dxa"/>
          </w:tcPr>
          <w:p w14:paraId="4F1DC236" w14:textId="77777777" w:rsidR="005F2D07" w:rsidRDefault="00000000">
            <w:pPr>
              <w:pStyle w:val="Compact"/>
              <w:jc w:val="center"/>
            </w:pPr>
            <w:r>
              <w:rPr>
                <w:sz w:val="20"/>
              </w:rPr>
              <w:t>CV AUC</w:t>
            </w:r>
          </w:p>
        </w:tc>
        <w:tc>
          <w:tcPr>
            <w:tcW w:w="1984" w:type="dxa"/>
          </w:tcPr>
          <w:p w14:paraId="43B0635D" w14:textId="77777777" w:rsidR="005F2D07" w:rsidRDefault="00000000">
            <w:pPr>
              <w:pStyle w:val="Compact"/>
              <w:jc w:val="center"/>
            </w:pPr>
            <w:r>
              <w:rPr>
                <w:sz w:val="20"/>
              </w:rPr>
              <w:t>CV EER</w:t>
            </w:r>
          </w:p>
        </w:tc>
      </w:tr>
      <w:tr w:rsidR="005F2D07" w14:paraId="2575254F" w14:textId="77777777" w:rsidTr="005F2D07">
        <w:trPr>
          <w:cantSplit/>
          <w:jc w:val="center"/>
        </w:trPr>
        <w:tc>
          <w:tcPr>
            <w:tcW w:w="2381" w:type="dxa"/>
          </w:tcPr>
          <w:p w14:paraId="2A44A08C" w14:textId="77777777" w:rsidR="005F2D07" w:rsidRDefault="00000000">
            <w:pPr>
              <w:pStyle w:val="Compact"/>
            </w:pPr>
            <w:r>
              <w:rPr>
                <w:sz w:val="20"/>
              </w:rPr>
              <w:t>LogReg</w:t>
            </w:r>
          </w:p>
        </w:tc>
        <w:tc>
          <w:tcPr>
            <w:tcW w:w="1474" w:type="dxa"/>
          </w:tcPr>
          <w:p w14:paraId="25CFE6FD" w14:textId="77777777" w:rsidR="005F2D07" w:rsidRDefault="00000000">
            <w:pPr>
              <w:pStyle w:val="Compact"/>
              <w:jc w:val="center"/>
            </w:pPr>
            <w:r>
              <w:rPr>
                <w:sz w:val="20"/>
              </w:rPr>
              <w:t>0.993</w:t>
            </w:r>
          </w:p>
        </w:tc>
        <w:tc>
          <w:tcPr>
            <w:tcW w:w="1587" w:type="dxa"/>
          </w:tcPr>
          <w:p w14:paraId="33DD405E" w14:textId="77777777" w:rsidR="005F2D07" w:rsidRDefault="00000000">
            <w:pPr>
              <w:pStyle w:val="Compact"/>
              <w:jc w:val="center"/>
            </w:pPr>
            <w:r>
              <w:rPr>
                <w:sz w:val="20"/>
              </w:rPr>
              <w:t>0.048</w:t>
            </w:r>
          </w:p>
        </w:tc>
        <w:tc>
          <w:tcPr>
            <w:tcW w:w="1984" w:type="dxa"/>
          </w:tcPr>
          <w:p w14:paraId="49FB226D" w14:textId="77777777" w:rsidR="005F2D07" w:rsidRDefault="00000000">
            <w:pPr>
              <w:pStyle w:val="Compact"/>
              <w:jc w:val="center"/>
            </w:pPr>
            <w:r>
              <w:rPr>
                <w:sz w:val="20"/>
              </w:rPr>
              <w:t>0.995 ± 0.005</w:t>
            </w:r>
          </w:p>
        </w:tc>
        <w:tc>
          <w:tcPr>
            <w:tcW w:w="1984" w:type="dxa"/>
          </w:tcPr>
          <w:p w14:paraId="426485FD" w14:textId="77777777" w:rsidR="005F2D07" w:rsidRDefault="00000000">
            <w:pPr>
              <w:pStyle w:val="Compact"/>
              <w:jc w:val="center"/>
            </w:pPr>
            <w:r>
              <w:rPr>
                <w:sz w:val="20"/>
              </w:rPr>
              <w:t>0.029 ± 0.020</w:t>
            </w:r>
          </w:p>
        </w:tc>
      </w:tr>
      <w:tr w:rsidR="005F2D07" w14:paraId="7DC7F121" w14:textId="77777777" w:rsidTr="005F2D07">
        <w:trPr>
          <w:cantSplit/>
          <w:jc w:val="center"/>
        </w:trPr>
        <w:tc>
          <w:tcPr>
            <w:tcW w:w="2381" w:type="dxa"/>
          </w:tcPr>
          <w:p w14:paraId="1A251ED8" w14:textId="77777777" w:rsidR="005F2D07" w:rsidRDefault="00000000">
            <w:pPr>
              <w:pStyle w:val="Compact"/>
            </w:pPr>
            <w:r>
              <w:rPr>
                <w:sz w:val="20"/>
              </w:rPr>
              <w:t>SVM-RBF</w:t>
            </w:r>
          </w:p>
        </w:tc>
        <w:tc>
          <w:tcPr>
            <w:tcW w:w="1474" w:type="dxa"/>
          </w:tcPr>
          <w:p w14:paraId="1D1D0176" w14:textId="77777777" w:rsidR="005F2D07" w:rsidRDefault="00000000">
            <w:pPr>
              <w:pStyle w:val="Compact"/>
              <w:jc w:val="center"/>
            </w:pPr>
            <w:r>
              <w:rPr>
                <w:sz w:val="20"/>
              </w:rPr>
              <w:t>0.994</w:t>
            </w:r>
          </w:p>
        </w:tc>
        <w:tc>
          <w:tcPr>
            <w:tcW w:w="1587" w:type="dxa"/>
          </w:tcPr>
          <w:p w14:paraId="7CCDE028" w14:textId="77777777" w:rsidR="005F2D07" w:rsidRDefault="00000000">
            <w:pPr>
              <w:pStyle w:val="Compact"/>
              <w:jc w:val="center"/>
            </w:pPr>
            <w:r>
              <w:rPr>
                <w:sz w:val="20"/>
              </w:rPr>
              <w:t>0.048</w:t>
            </w:r>
          </w:p>
        </w:tc>
        <w:tc>
          <w:tcPr>
            <w:tcW w:w="1984" w:type="dxa"/>
          </w:tcPr>
          <w:p w14:paraId="011D6C00" w14:textId="77777777" w:rsidR="005F2D07" w:rsidRDefault="00000000">
            <w:pPr>
              <w:pStyle w:val="Compact"/>
              <w:jc w:val="center"/>
            </w:pPr>
            <w:r>
              <w:rPr>
                <w:sz w:val="20"/>
              </w:rPr>
              <w:t>0.996 ± 0.006</w:t>
            </w:r>
          </w:p>
        </w:tc>
        <w:tc>
          <w:tcPr>
            <w:tcW w:w="1984" w:type="dxa"/>
          </w:tcPr>
          <w:p w14:paraId="60C4ED14" w14:textId="77777777" w:rsidR="005F2D07" w:rsidRDefault="00000000">
            <w:pPr>
              <w:pStyle w:val="Compact"/>
              <w:jc w:val="center"/>
            </w:pPr>
            <w:r>
              <w:rPr>
                <w:sz w:val="20"/>
              </w:rPr>
              <w:t>0.028 ± 0.022</w:t>
            </w:r>
          </w:p>
        </w:tc>
      </w:tr>
      <w:tr w:rsidR="005F2D07" w14:paraId="4AB4D680" w14:textId="77777777" w:rsidTr="005F2D07">
        <w:trPr>
          <w:cantSplit/>
          <w:jc w:val="center"/>
        </w:trPr>
        <w:tc>
          <w:tcPr>
            <w:tcW w:w="2381" w:type="dxa"/>
          </w:tcPr>
          <w:p w14:paraId="7A7A749F" w14:textId="77777777" w:rsidR="005F2D07" w:rsidRDefault="00000000">
            <w:pPr>
              <w:pStyle w:val="Compact"/>
            </w:pPr>
            <w:r>
              <w:rPr>
                <w:sz w:val="20"/>
              </w:rPr>
              <w:lastRenderedPageBreak/>
              <w:t>RandomForest</w:t>
            </w:r>
          </w:p>
        </w:tc>
        <w:tc>
          <w:tcPr>
            <w:tcW w:w="1474" w:type="dxa"/>
          </w:tcPr>
          <w:p w14:paraId="46D8FEDB" w14:textId="77777777" w:rsidR="005F2D07" w:rsidRDefault="00000000">
            <w:pPr>
              <w:pStyle w:val="Compact"/>
              <w:jc w:val="center"/>
            </w:pPr>
            <w:r>
              <w:rPr>
                <w:sz w:val="20"/>
              </w:rPr>
              <w:t>0.977</w:t>
            </w:r>
          </w:p>
        </w:tc>
        <w:tc>
          <w:tcPr>
            <w:tcW w:w="1587" w:type="dxa"/>
          </w:tcPr>
          <w:p w14:paraId="0DB60495" w14:textId="77777777" w:rsidR="005F2D07" w:rsidRDefault="00000000">
            <w:pPr>
              <w:pStyle w:val="Compact"/>
              <w:jc w:val="center"/>
            </w:pPr>
            <w:r>
              <w:rPr>
                <w:sz w:val="20"/>
              </w:rPr>
              <w:t>0.048</w:t>
            </w:r>
          </w:p>
        </w:tc>
        <w:tc>
          <w:tcPr>
            <w:tcW w:w="1984" w:type="dxa"/>
          </w:tcPr>
          <w:p w14:paraId="1ADA869F" w14:textId="77777777" w:rsidR="005F2D07" w:rsidRDefault="00000000">
            <w:pPr>
              <w:pStyle w:val="Compact"/>
              <w:jc w:val="center"/>
            </w:pPr>
            <w:r>
              <w:rPr>
                <w:sz w:val="20"/>
              </w:rPr>
              <w:t>0.990 ± 0.009</w:t>
            </w:r>
          </w:p>
        </w:tc>
        <w:tc>
          <w:tcPr>
            <w:tcW w:w="1984" w:type="dxa"/>
          </w:tcPr>
          <w:p w14:paraId="4C6B47F8" w14:textId="77777777" w:rsidR="005F2D07" w:rsidRDefault="00000000">
            <w:pPr>
              <w:pStyle w:val="Compact"/>
              <w:jc w:val="center"/>
            </w:pPr>
            <w:r>
              <w:rPr>
                <w:sz w:val="20"/>
              </w:rPr>
              <w:t>0.041 ± 0.021</w:t>
            </w:r>
          </w:p>
        </w:tc>
      </w:tr>
      <w:tr w:rsidR="005F2D07" w14:paraId="64F83D2F" w14:textId="77777777" w:rsidTr="005F2D07">
        <w:trPr>
          <w:cantSplit/>
          <w:jc w:val="center"/>
        </w:trPr>
        <w:tc>
          <w:tcPr>
            <w:tcW w:w="2381" w:type="dxa"/>
          </w:tcPr>
          <w:p w14:paraId="1695CB70" w14:textId="77777777" w:rsidR="005F2D07" w:rsidRDefault="00000000">
            <w:pPr>
              <w:pStyle w:val="Compact"/>
            </w:pPr>
            <w:r>
              <w:rPr>
                <w:sz w:val="20"/>
              </w:rPr>
              <w:t>MLP-BP</w:t>
            </w:r>
          </w:p>
        </w:tc>
        <w:tc>
          <w:tcPr>
            <w:tcW w:w="1474" w:type="dxa"/>
          </w:tcPr>
          <w:p w14:paraId="0BAA407D" w14:textId="77777777" w:rsidR="005F2D07" w:rsidRDefault="00000000">
            <w:pPr>
              <w:pStyle w:val="Compact"/>
              <w:jc w:val="center"/>
            </w:pPr>
            <w:r>
              <w:rPr>
                <w:sz w:val="20"/>
              </w:rPr>
              <w:t>0.989</w:t>
            </w:r>
          </w:p>
        </w:tc>
        <w:tc>
          <w:tcPr>
            <w:tcW w:w="1587" w:type="dxa"/>
          </w:tcPr>
          <w:p w14:paraId="1D78A2C0" w14:textId="77777777" w:rsidR="005F2D07" w:rsidRDefault="00000000">
            <w:pPr>
              <w:pStyle w:val="Compact"/>
              <w:jc w:val="center"/>
            </w:pPr>
            <w:r>
              <w:rPr>
                <w:sz w:val="20"/>
              </w:rPr>
              <w:t>0.071</w:t>
            </w:r>
          </w:p>
        </w:tc>
        <w:tc>
          <w:tcPr>
            <w:tcW w:w="1984" w:type="dxa"/>
          </w:tcPr>
          <w:p w14:paraId="38086117" w14:textId="77777777" w:rsidR="005F2D07" w:rsidRDefault="00000000">
            <w:pPr>
              <w:pStyle w:val="Compact"/>
              <w:jc w:val="center"/>
            </w:pPr>
            <w:r>
              <w:rPr>
                <w:sz w:val="20"/>
              </w:rPr>
              <w:t>0.995 ± 0.006</w:t>
            </w:r>
          </w:p>
        </w:tc>
        <w:tc>
          <w:tcPr>
            <w:tcW w:w="1984" w:type="dxa"/>
          </w:tcPr>
          <w:p w14:paraId="348171D1" w14:textId="77777777" w:rsidR="005F2D07" w:rsidRDefault="00000000">
            <w:pPr>
              <w:pStyle w:val="Compact"/>
              <w:jc w:val="center"/>
            </w:pPr>
            <w:r>
              <w:rPr>
                <w:sz w:val="20"/>
              </w:rPr>
              <w:t>0.032 ± 0.019</w:t>
            </w:r>
          </w:p>
        </w:tc>
      </w:tr>
      <w:tr w:rsidR="005F2D07" w14:paraId="30156643" w14:textId="77777777" w:rsidTr="005F2D07">
        <w:trPr>
          <w:cantSplit/>
          <w:jc w:val="center"/>
        </w:trPr>
        <w:tc>
          <w:tcPr>
            <w:tcW w:w="2381" w:type="dxa"/>
          </w:tcPr>
          <w:p w14:paraId="2250213F" w14:textId="77777777" w:rsidR="005F2D07" w:rsidRDefault="00000000">
            <w:pPr>
              <w:pStyle w:val="Compact"/>
            </w:pPr>
            <w:r>
              <w:rPr>
                <w:sz w:val="20"/>
              </w:rPr>
              <w:t>Forward-Forward</w:t>
            </w:r>
          </w:p>
        </w:tc>
        <w:tc>
          <w:tcPr>
            <w:tcW w:w="1474" w:type="dxa"/>
          </w:tcPr>
          <w:p w14:paraId="77183A4F" w14:textId="77777777" w:rsidR="005F2D07" w:rsidRDefault="00000000">
            <w:pPr>
              <w:pStyle w:val="Compact"/>
              <w:jc w:val="center"/>
            </w:pPr>
            <w:r>
              <w:rPr>
                <w:sz w:val="20"/>
              </w:rPr>
              <w:t>0.988</w:t>
            </w:r>
          </w:p>
        </w:tc>
        <w:tc>
          <w:tcPr>
            <w:tcW w:w="1587" w:type="dxa"/>
          </w:tcPr>
          <w:p w14:paraId="7781F363" w14:textId="77777777" w:rsidR="005F2D07" w:rsidRDefault="00000000">
            <w:pPr>
              <w:pStyle w:val="Compact"/>
              <w:jc w:val="center"/>
            </w:pPr>
            <w:r>
              <w:rPr>
                <w:sz w:val="20"/>
              </w:rPr>
              <w:t>0.069</w:t>
            </w:r>
          </w:p>
        </w:tc>
        <w:tc>
          <w:tcPr>
            <w:tcW w:w="1984" w:type="dxa"/>
          </w:tcPr>
          <w:p w14:paraId="4F63258F" w14:textId="77777777" w:rsidR="005F2D07" w:rsidRDefault="00000000">
            <w:pPr>
              <w:pStyle w:val="Compact"/>
              <w:jc w:val="center"/>
            </w:pPr>
            <w:r>
              <w:rPr>
                <w:sz w:val="20"/>
              </w:rPr>
              <w:t>0.994 ± 0.008</w:t>
            </w:r>
          </w:p>
        </w:tc>
        <w:tc>
          <w:tcPr>
            <w:tcW w:w="1984" w:type="dxa"/>
          </w:tcPr>
          <w:p w14:paraId="29A4BDE3" w14:textId="77777777" w:rsidR="005F2D07" w:rsidRDefault="00000000">
            <w:pPr>
              <w:pStyle w:val="Compact"/>
              <w:jc w:val="center"/>
            </w:pPr>
            <w:r>
              <w:rPr>
                <w:sz w:val="20"/>
              </w:rPr>
              <w:t>0.028 ± 0.017</w:t>
            </w:r>
          </w:p>
        </w:tc>
      </w:tr>
      <w:tr w:rsidR="005F2D07" w14:paraId="36EA04A4" w14:textId="77777777" w:rsidTr="005F2D07">
        <w:trPr>
          <w:cantSplit/>
          <w:jc w:val="center"/>
        </w:trPr>
        <w:tc>
          <w:tcPr>
            <w:tcW w:w="2381" w:type="dxa"/>
          </w:tcPr>
          <w:p w14:paraId="4000E60A" w14:textId="77777777" w:rsidR="005F2D07" w:rsidRDefault="00000000">
            <w:pPr>
              <w:pStyle w:val="Compact"/>
            </w:pPr>
            <w:r>
              <w:rPr>
                <w:sz w:val="20"/>
              </w:rPr>
              <w:t>CMA-ES-MLP</w:t>
            </w:r>
          </w:p>
        </w:tc>
        <w:tc>
          <w:tcPr>
            <w:tcW w:w="1474" w:type="dxa"/>
          </w:tcPr>
          <w:p w14:paraId="7D85F555" w14:textId="77777777" w:rsidR="005F2D07" w:rsidRDefault="00000000">
            <w:pPr>
              <w:pStyle w:val="Compact"/>
              <w:jc w:val="center"/>
            </w:pPr>
            <w:r>
              <w:rPr>
                <w:sz w:val="20"/>
              </w:rPr>
              <w:t>0.984</w:t>
            </w:r>
          </w:p>
        </w:tc>
        <w:tc>
          <w:tcPr>
            <w:tcW w:w="1587" w:type="dxa"/>
          </w:tcPr>
          <w:p w14:paraId="1721A6B5" w14:textId="77777777" w:rsidR="005F2D07" w:rsidRDefault="00000000">
            <w:pPr>
              <w:pStyle w:val="Compact"/>
              <w:jc w:val="center"/>
            </w:pPr>
            <w:r>
              <w:rPr>
                <w:sz w:val="20"/>
              </w:rPr>
              <w:t>0.069</w:t>
            </w:r>
          </w:p>
        </w:tc>
        <w:tc>
          <w:tcPr>
            <w:tcW w:w="1984" w:type="dxa"/>
          </w:tcPr>
          <w:p w14:paraId="010525BB" w14:textId="77777777" w:rsidR="005F2D07" w:rsidRDefault="00000000">
            <w:pPr>
              <w:pStyle w:val="Compact"/>
              <w:jc w:val="center"/>
            </w:pPr>
            <w:r>
              <w:rPr>
                <w:sz w:val="20"/>
              </w:rPr>
              <w:t>0.994 ± 0.008</w:t>
            </w:r>
          </w:p>
        </w:tc>
        <w:tc>
          <w:tcPr>
            <w:tcW w:w="1984" w:type="dxa"/>
          </w:tcPr>
          <w:p w14:paraId="3D851E59" w14:textId="77777777" w:rsidR="005F2D07" w:rsidRDefault="00000000">
            <w:pPr>
              <w:pStyle w:val="Compact"/>
              <w:jc w:val="center"/>
            </w:pPr>
            <w:r>
              <w:rPr>
                <w:sz w:val="20"/>
              </w:rPr>
              <w:t>0.032 ± 0.020</w:t>
            </w:r>
          </w:p>
        </w:tc>
      </w:tr>
      <w:tr w:rsidR="005F2D07" w14:paraId="13B54B17" w14:textId="77777777" w:rsidTr="005F2D07">
        <w:trPr>
          <w:cantSplit/>
          <w:jc w:val="center"/>
        </w:trPr>
        <w:tc>
          <w:tcPr>
            <w:tcW w:w="2381" w:type="dxa"/>
          </w:tcPr>
          <w:p w14:paraId="4AC0D162" w14:textId="77777777" w:rsidR="005F2D07" w:rsidRDefault="00000000">
            <w:pPr>
              <w:pStyle w:val="Compact"/>
            </w:pPr>
            <w:r>
              <w:rPr>
                <w:sz w:val="20"/>
              </w:rPr>
              <w:t>ANFIS</w:t>
            </w:r>
          </w:p>
        </w:tc>
        <w:tc>
          <w:tcPr>
            <w:tcW w:w="1474" w:type="dxa"/>
          </w:tcPr>
          <w:p w14:paraId="622D7338" w14:textId="77777777" w:rsidR="005F2D07" w:rsidRDefault="00000000">
            <w:pPr>
              <w:pStyle w:val="Compact"/>
              <w:jc w:val="center"/>
            </w:pPr>
            <w:r>
              <w:rPr>
                <w:sz w:val="20"/>
              </w:rPr>
              <w:t>0.992</w:t>
            </w:r>
          </w:p>
        </w:tc>
        <w:tc>
          <w:tcPr>
            <w:tcW w:w="1587" w:type="dxa"/>
          </w:tcPr>
          <w:p w14:paraId="04AA044A" w14:textId="77777777" w:rsidR="005F2D07" w:rsidRDefault="00000000">
            <w:pPr>
              <w:pStyle w:val="Compact"/>
              <w:jc w:val="center"/>
            </w:pPr>
            <w:r>
              <w:rPr>
                <w:sz w:val="20"/>
              </w:rPr>
              <w:t>0.048</w:t>
            </w:r>
          </w:p>
        </w:tc>
        <w:tc>
          <w:tcPr>
            <w:tcW w:w="1984" w:type="dxa"/>
          </w:tcPr>
          <w:p w14:paraId="09732F4D" w14:textId="77777777" w:rsidR="005F2D07" w:rsidRDefault="00000000">
            <w:pPr>
              <w:pStyle w:val="Compact"/>
              <w:jc w:val="center"/>
            </w:pPr>
            <w:r>
              <w:rPr>
                <w:sz w:val="20"/>
              </w:rPr>
              <w:t>0.994 ± 0.006</w:t>
            </w:r>
          </w:p>
        </w:tc>
        <w:tc>
          <w:tcPr>
            <w:tcW w:w="1984" w:type="dxa"/>
          </w:tcPr>
          <w:p w14:paraId="22EA5B17" w14:textId="77777777" w:rsidR="005F2D07" w:rsidRDefault="00000000">
            <w:pPr>
              <w:pStyle w:val="Compact"/>
              <w:jc w:val="center"/>
            </w:pPr>
            <w:r>
              <w:rPr>
                <w:sz w:val="20"/>
              </w:rPr>
              <w:t>0.030 ± 0.019</w:t>
            </w:r>
          </w:p>
        </w:tc>
      </w:tr>
      <w:tr w:rsidR="005F2D07" w14:paraId="4D2E2EEB" w14:textId="77777777" w:rsidTr="005F2D07">
        <w:trPr>
          <w:cantSplit/>
          <w:jc w:val="center"/>
        </w:trPr>
        <w:tc>
          <w:tcPr>
            <w:tcW w:w="2381" w:type="dxa"/>
          </w:tcPr>
          <w:p w14:paraId="2D0E5AA4" w14:textId="77777777" w:rsidR="005F2D07" w:rsidRDefault="00000000">
            <w:pPr>
              <w:pStyle w:val="Compact"/>
            </w:pPr>
            <w:r>
              <w:rPr>
                <w:sz w:val="20"/>
              </w:rPr>
              <w:t>TabPFN</w:t>
            </w:r>
          </w:p>
        </w:tc>
        <w:tc>
          <w:tcPr>
            <w:tcW w:w="1474" w:type="dxa"/>
          </w:tcPr>
          <w:p w14:paraId="1AB822A4" w14:textId="77777777" w:rsidR="005F2D07" w:rsidRDefault="00000000">
            <w:pPr>
              <w:pStyle w:val="Compact"/>
              <w:jc w:val="center"/>
            </w:pPr>
            <w:r>
              <w:rPr>
                <w:sz w:val="20"/>
              </w:rPr>
              <w:t>0.997</w:t>
            </w:r>
          </w:p>
        </w:tc>
        <w:tc>
          <w:tcPr>
            <w:tcW w:w="1587" w:type="dxa"/>
          </w:tcPr>
          <w:p w14:paraId="2515B7FC" w14:textId="77777777" w:rsidR="005F2D07" w:rsidRDefault="00000000">
            <w:pPr>
              <w:pStyle w:val="Compact"/>
              <w:jc w:val="center"/>
            </w:pPr>
            <w:r>
              <w:rPr>
                <w:sz w:val="20"/>
              </w:rPr>
              <w:t>0.024</w:t>
            </w:r>
          </w:p>
        </w:tc>
        <w:tc>
          <w:tcPr>
            <w:tcW w:w="1984" w:type="dxa"/>
          </w:tcPr>
          <w:p w14:paraId="4D40002F" w14:textId="77777777" w:rsidR="005F2D07" w:rsidRDefault="00000000">
            <w:pPr>
              <w:pStyle w:val="Compact"/>
              <w:jc w:val="center"/>
            </w:pPr>
            <w:r>
              <w:rPr>
                <w:b/>
                <w:bCs/>
                <w:sz w:val="20"/>
              </w:rPr>
              <w:t>0.997 ± 0.004</w:t>
            </w:r>
          </w:p>
        </w:tc>
        <w:tc>
          <w:tcPr>
            <w:tcW w:w="1984" w:type="dxa"/>
          </w:tcPr>
          <w:p w14:paraId="2B53E969" w14:textId="77777777" w:rsidR="005F2D07" w:rsidRDefault="00000000">
            <w:pPr>
              <w:pStyle w:val="Compact"/>
              <w:jc w:val="center"/>
            </w:pPr>
            <w:r>
              <w:rPr>
                <w:b/>
                <w:bCs/>
                <w:sz w:val="20"/>
              </w:rPr>
              <w:t>0.023 ± 0.019</w:t>
            </w:r>
          </w:p>
        </w:tc>
      </w:tr>
    </w:tbl>
    <w:p w14:paraId="7FCADC09" w14:textId="77777777" w:rsidR="005F2D07" w:rsidRDefault="00000000">
      <w:pPr>
        <w:pStyle w:val="Heading1"/>
      </w:pPr>
      <w:bookmarkStart w:id="14" w:name="discussion"/>
      <w:bookmarkEnd w:id="6"/>
      <w:bookmarkEnd w:id="12"/>
      <w:bookmarkEnd w:id="13"/>
      <w:r>
        <w:rPr>
          <w:rStyle w:val="SectionNumber"/>
        </w:rPr>
        <w:t>6</w:t>
      </w:r>
      <w:r>
        <w:tab/>
        <w:t>Discussion</w:t>
      </w:r>
    </w:p>
    <w:p w14:paraId="24685057" w14:textId="77777777" w:rsidR="005F2D07" w:rsidRDefault="00000000">
      <w:pPr>
        <w:pStyle w:val="FirstParagraph"/>
      </w:pPr>
      <w:r>
        <w:t>The assignment requirements are met directly: the classifiers return continuous scores, the ROC curves are obtained by sweeping the threshold, and the selected random-forest boundary is determined from training OOF data. Separating the interpolated EER from the attainable threshold avoids claiming an exact FPR–FNR equality that a finite test set cannot necessarily realise.</w:t>
      </w:r>
    </w:p>
    <w:p w14:paraId="50DED1E0" w14:textId="77777777" w:rsidR="005F2D07" w:rsidRDefault="00000000">
      <w:pPr>
        <w:pStyle w:val="BodyText"/>
      </w:pPr>
      <w:r>
        <w:t>The NUH results are dominated by small-sample uncertainty and label definition. The training-OOF comparison supports random forest as the preferred choice among the tested models under the stated protocol, and the pooled repeated CV agrees; neither shows that alternative learning rules are equivalent or non-inferior, and the pooled figures cannot be read as out-of-sample performance because they include the test cases. Forward-Forward and CMA-ES have competitive point estimates, while ANFIS is more variable; stronger claims would require paired statistical analysis across repeated splits and a larger external cohort.</w:t>
      </w:r>
    </w:p>
    <w:p w14:paraId="0F266807" w14:textId="77777777" w:rsidR="005F2D07" w:rsidRDefault="00000000">
      <w:pPr>
        <w:pStyle w:val="BodyText"/>
      </w:pPr>
      <w:r>
        <w:t>The EER objective gives false positives and false negatives equal weight, as required by the task. A clinical screening threshold would normally favour sensitivity and must be chosen using explicit costs, prevalence, and clinical validation. Treating borderline cases as screening-positive addresses the label side of that concern but does not replace cost-sensitive threshold selection.</w:t>
      </w:r>
    </w:p>
    <w:p w14:paraId="4F718C5D" w14:textId="77777777" w:rsidR="005F2D07" w:rsidRDefault="00000000">
      <w:pPr>
        <w:pStyle w:val="BodyText"/>
      </w:pPr>
      <w:r>
        <w:t>Limitations include the five borderline cases, the reverse-engineered NUH file structure, fixed hyperparameters for most models, and reliance on one local version stack. TabPFN additionally requires licensed weights. Exact dependency versions and data checksums should be retained with the submitted code because an unpinned package list alone is insufficient for long-term reproduction.</w:t>
      </w:r>
    </w:p>
    <w:p w14:paraId="5222B1FD" w14:textId="77777777" w:rsidR="005F2D07" w:rsidRDefault="00000000">
      <w:pPr>
        <w:pStyle w:val="Heading1"/>
      </w:pPr>
      <w:bookmarkStart w:id="15" w:name="conclusion"/>
      <w:bookmarkEnd w:id="14"/>
      <w:r>
        <w:rPr>
          <w:rStyle w:val="SectionNumber"/>
        </w:rPr>
        <w:t>7</w:t>
      </w:r>
      <w:r>
        <w:tab/>
        <w:t>Conclusion</w:t>
      </w:r>
    </w:p>
    <w:p w14:paraId="18130776" w14:textId="77777777" w:rsidR="005F2D07" w:rsidRDefault="00000000">
      <w:pPr>
        <w:pStyle w:val="FirstParagraph"/>
      </w:pPr>
      <w:r>
        <w:t xml:space="preserve">Random forest is the preferred decision tool for the main NUH screening definition. It was selected on training-OOF scores alone (OOF AUC </w:t>
      </w:r>
      <m:oMath>
        <m:r>
          <w:rPr>
            <w:rFonts w:ascii="Cambria Math" w:hAnsi="Cambria Math"/>
          </w:rPr>
          <m:t>0.812</m:t>
        </m:r>
      </m:oMath>
      <w:r>
        <w:t xml:space="preserve">, OOF EER </w:t>
      </w:r>
      <m:oMath>
        <m:r>
          <w:rPr>
            <w:rFonts w:ascii="Cambria Math" w:hAnsi="Cambria Math"/>
          </w:rPr>
          <m:t>0.236</m:t>
        </m:r>
      </m:oMath>
      <w:r>
        <w:t xml:space="preserve">), and its training-OOF vote threshold of </w:t>
      </w:r>
      <m:oMath>
        <m:r>
          <w:rPr>
            <w:rFonts w:ascii="Cambria Math" w:hAnsi="Cambria Math"/>
          </w:rPr>
          <m:t>0.484</m:t>
        </m:r>
      </m:oMath>
      <w:r>
        <w:t xml:space="preserve"> yields </w:t>
      </w:r>
      <m:oMath>
        <m:r>
          <w:rPr>
            <w:rFonts w:ascii="Cambria Math" w:hAnsi="Cambria Math"/>
          </w:rPr>
          <m:t>0.769</m:t>
        </m:r>
      </m:oMath>
      <w:r>
        <w:t xml:space="preserve"> sensitivity and </w:t>
      </w:r>
      <m:oMath>
        <m:r>
          <w:rPr>
            <w:rFonts w:ascii="Cambria Math" w:hAnsi="Cambria Math"/>
          </w:rPr>
          <m:t>0.786</m:t>
        </m:r>
      </m:oMath>
      <w:r>
        <w:t xml:space="preserve"> specificity on the test split, which was held out from both the model choice and the threshold choice. The pooled repeated CV, which ranks the same model first (AUC </w:t>
      </w:r>
      <m:oMath>
        <m:r>
          <w:rPr>
            <w:rFonts w:ascii="Cambria Math" w:hAnsi="Cambria Math"/>
          </w:rPr>
          <m:t>0.845</m:t>
        </m:r>
      </m:oMath>
      <w:r>
        <w:t xml:space="preserve">, EER </w:t>
      </w:r>
      <m:oMath>
        <m:r>
          <w:rPr>
            <w:rFonts w:ascii="Cambria Math" w:hAnsi="Cambria Math"/>
          </w:rPr>
          <m:t>0.245</m:t>
        </m:r>
      </m:oMath>
      <w:r>
        <w:t xml:space="preserve">), is reported only as a stability check and is not an out-of-sample estimate. The ROC analysis satisfies the requested decision-boundary sweep, while the WDBC results provide a successful implementation check. Most importantly, the borderline sensitivity experiment shows that NUH performance estimates depend materially on whether five clinically ambiguous cases </w:t>
      </w:r>
      <w:r>
        <w:lastRenderedPageBreak/>
        <w:t>are treated as positive, excluded, or treated as negative. The reported result is therefore conditional on the explicitly stated conservative screening label.</w:t>
      </w:r>
    </w:p>
    <w:p w14:paraId="2D11F776" w14:textId="77777777" w:rsidR="005F2D07" w:rsidRDefault="00000000">
      <w:pPr>
        <w:pStyle w:val="Heading1"/>
      </w:pPr>
      <w:bookmarkStart w:id="16" w:name="ai-usage-disclosure"/>
      <w:bookmarkEnd w:id="15"/>
      <w:r>
        <w:rPr>
          <w:rStyle w:val="SectionNumber"/>
        </w:rPr>
        <w:t>8</w:t>
      </w:r>
      <w:r>
        <w:tab/>
        <w:t>AI Usage Disclosure</w:t>
      </w:r>
    </w:p>
    <w:p w14:paraId="254F292F" w14:textId="4A1D7FA1" w:rsidR="005F2D07" w:rsidRDefault="00A45D24" w:rsidP="00A45D24">
      <w:pPr>
        <w:pStyle w:val="FirstParagraph"/>
      </w:pPr>
      <w:r>
        <w:t>This assignment was written by the student, with the assistance of AI tools (ChatGPT and Claude) for</w:t>
      </w:r>
      <w:r>
        <w:rPr>
          <w:rFonts w:hint="eastAsia"/>
        </w:rPr>
        <w:t xml:space="preserve"> </w:t>
      </w:r>
      <w:r>
        <w:t>grammar, style checking and code generation. The student has verified that all content is original and</w:t>
      </w:r>
      <w:r>
        <w:rPr>
          <w:rFonts w:hint="eastAsia"/>
        </w:rPr>
        <w:t xml:space="preserve"> </w:t>
      </w:r>
      <w:r>
        <w:t>that any AI-generated suggestions have been critically evaluated and appropriately integrated</w:t>
      </w:r>
      <w:r>
        <w:rPr>
          <w:rFonts w:hint="eastAsia"/>
        </w:rPr>
        <w:t>.</w:t>
      </w:r>
    </w:p>
    <w:p w14:paraId="68EBB634" w14:textId="77777777" w:rsidR="005F2D07" w:rsidRDefault="00000000">
      <w:pPr>
        <w:pStyle w:val="Heading1"/>
        <w:pageBreakBefore/>
      </w:pPr>
      <w:bookmarkStart w:id="17" w:name="references"/>
      <w:bookmarkEnd w:id="16"/>
      <w:r>
        <w:lastRenderedPageBreak/>
        <w:t>References</w:t>
      </w:r>
    </w:p>
    <w:p w14:paraId="35B9E9B1" w14:textId="77777777" w:rsidR="005F2D07" w:rsidRDefault="00000000">
      <w:pPr>
        <w:pStyle w:val="FirstParagraph"/>
      </w:pPr>
      <w:r>
        <w:t xml:space="preserve">[1] T. Z. Tan, C. Quek, G. S. Ng, K. Razvi. Ovarian cancer diagnosis with complementary learning fuzzy neural network. </w:t>
      </w:r>
      <w:r>
        <w:rPr>
          <w:i/>
          <w:iCs/>
        </w:rPr>
        <w:t>Artificial Intelligence in Medicine</w:t>
      </w:r>
      <w:r>
        <w:t xml:space="preserve"> 43:207–222, 2008.</w:t>
      </w:r>
    </w:p>
    <w:p w14:paraId="38470E5B" w14:textId="77777777" w:rsidR="005F2D07" w:rsidRDefault="00000000">
      <w:pPr>
        <w:pStyle w:val="BodyText"/>
      </w:pPr>
      <w:r>
        <w:t xml:space="preserve">[2] W. Wolberg, O. Mangasarian, N. Street, W. Street. Breast Cancer Wisconsin (Diagnostic) [Dataset]. UCI Machine Learning Repository, 1993. </w:t>
      </w:r>
      <w:hyperlink r:id="rId9">
        <w:r w:rsidR="005F2D07">
          <w:rPr>
            <w:rStyle w:val="Hyperlink"/>
          </w:rPr>
          <w:t>https://doi.org/10.24432/C5DW2B</w:t>
        </w:r>
      </w:hyperlink>
      <w:r>
        <w:t>.</w:t>
      </w:r>
    </w:p>
    <w:p w14:paraId="18FE97D8" w14:textId="77777777" w:rsidR="005F2D07" w:rsidRDefault="00000000">
      <w:pPr>
        <w:pStyle w:val="BodyText"/>
      </w:pPr>
      <w:r>
        <w:t xml:space="preserve">[3] W. N. Street, W. H. Wolberg, O. L. Mangasarian. Nuclear feature extraction for breast tumor diagnosis. </w:t>
      </w:r>
      <w:r>
        <w:rPr>
          <w:i/>
          <w:iCs/>
        </w:rPr>
        <w:t>IS&amp;T/SPIE</w:t>
      </w:r>
      <w:r>
        <w:t>, 1993.</w:t>
      </w:r>
    </w:p>
    <w:p w14:paraId="7A140AB0" w14:textId="77777777" w:rsidR="005F2D07" w:rsidRDefault="00000000">
      <w:pPr>
        <w:pStyle w:val="BodyText"/>
      </w:pPr>
      <w:r>
        <w:t>[4] G. Hinton. The Forward-Forward algorithm: some preliminary investigations. arXiv:2212.13345, 2022.</w:t>
      </w:r>
    </w:p>
    <w:p w14:paraId="6DEAFE3E" w14:textId="77777777" w:rsidR="005F2D07" w:rsidRDefault="00000000">
      <w:pPr>
        <w:pStyle w:val="BodyText"/>
      </w:pPr>
      <w:r>
        <w:t>[5] N. Hansen. The CMA evolution strategy: a tutorial. arXiv:1604.00772, 2016.</w:t>
      </w:r>
    </w:p>
    <w:p w14:paraId="6B28778C" w14:textId="77777777" w:rsidR="005F2D07" w:rsidRDefault="00000000">
      <w:pPr>
        <w:pStyle w:val="BodyText"/>
      </w:pPr>
      <w:r>
        <w:t xml:space="preserve">[6] J.-S. R. Jang. ANFIS: adaptive-network-based fuzzy inference system. </w:t>
      </w:r>
      <w:r>
        <w:rPr>
          <w:i/>
          <w:iCs/>
        </w:rPr>
        <w:t>IEEE Transactions on Systems, Man, and Cybernetics</w:t>
      </w:r>
      <w:r>
        <w:t xml:space="preserve"> 23(3):665–685, 1993.</w:t>
      </w:r>
    </w:p>
    <w:p w14:paraId="0A7F2CC6" w14:textId="77777777" w:rsidR="005F2D07" w:rsidRDefault="00000000">
      <w:pPr>
        <w:pStyle w:val="BodyText"/>
      </w:pPr>
      <w:r>
        <w:t xml:space="preserve">[7] N. Hollmann </w:t>
      </w:r>
      <w:r>
        <w:rPr>
          <w:i/>
          <w:iCs/>
        </w:rPr>
        <w:t>et al.</w:t>
      </w:r>
      <w:r>
        <w:t xml:space="preserve"> Accurate predictions on small data with a tabular foundation model. </w:t>
      </w:r>
      <w:r>
        <w:rPr>
          <w:i/>
          <w:iCs/>
        </w:rPr>
        <w:t>Nature</w:t>
      </w:r>
      <w:r>
        <w:t xml:space="preserve"> 637:319–326, 2025.</w:t>
      </w:r>
    </w:p>
    <w:p w14:paraId="4BE56598" w14:textId="77777777" w:rsidR="005F2D07" w:rsidRDefault="00000000">
      <w:pPr>
        <w:pStyle w:val="BodyText"/>
      </w:pPr>
      <w:r>
        <w:t xml:space="preserve">[8] L. Grinsztajn </w:t>
      </w:r>
      <w:r>
        <w:rPr>
          <w:i/>
          <w:iCs/>
        </w:rPr>
        <w:t>et al.</w:t>
      </w:r>
      <w:r>
        <w:t xml:space="preserve"> TabPFN-3: technical report. arXiv:2605.13986, 2026.</w:t>
      </w:r>
      <w:bookmarkEnd w:id="17"/>
    </w:p>
    <w:sectPr w:rsidR="005F2D07">
      <w:footerReference w:type="default" r:id="rId10"/>
      <w:footnotePr>
        <w:numRestart w:val="eachSect"/>
      </w:footnotePr>
      <w:pgSz w:w="11906" w:h="16838"/>
      <w:pgMar w:top="1247" w:right="1247" w:bottom="1247" w:left="1247" w:header="720"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212A7" w14:textId="77777777" w:rsidR="00E5584D" w:rsidRDefault="00E5584D">
      <w:pPr>
        <w:spacing w:after="0"/>
      </w:pPr>
      <w:r>
        <w:separator/>
      </w:r>
    </w:p>
  </w:endnote>
  <w:endnote w:type="continuationSeparator" w:id="0">
    <w:p w14:paraId="7816C8B0" w14:textId="77777777" w:rsidR="00E5584D" w:rsidRDefault="00E558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831B" w14:textId="77777777" w:rsidR="005F2D07" w:rsidRDefault="00000000">
    <w:pPr>
      <w:jc w:val="center"/>
    </w:pPr>
    <w:r>
      <w:fldChar w:fldCharType="begin"/>
    </w:r>
    <w:r>
      <w:instrText xml:space="preserve"> PAGE </w:instrText>
    </w:r>
    <w:r>
      <w:fldChar w:fldCharType="separate"/>
    </w:r>
    <w:r w:rsidR="00CB089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3B4D5" w14:textId="77777777" w:rsidR="00E5584D" w:rsidRDefault="00E5584D">
      <w:pPr>
        <w:spacing w:after="0"/>
      </w:pPr>
      <w:r>
        <w:separator/>
      </w:r>
    </w:p>
  </w:footnote>
  <w:footnote w:type="continuationSeparator" w:id="0">
    <w:p w14:paraId="05B7C0E5" w14:textId="77777777" w:rsidR="00E5584D" w:rsidRDefault="00E5584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006AFD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043783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F2D07"/>
    <w:rsid w:val="00196EA2"/>
    <w:rsid w:val="001E3DE3"/>
    <w:rsid w:val="005F2D07"/>
    <w:rsid w:val="008108E7"/>
    <w:rsid w:val="00840336"/>
    <w:rsid w:val="0093410B"/>
    <w:rsid w:val="00A45D24"/>
    <w:rsid w:val="00C546E0"/>
    <w:rsid w:val="00C62BB5"/>
    <w:rsid w:val="00CB0893"/>
    <w:rsid w:val="00E5584D"/>
    <w:rsid w:val="00EF5A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4FC4DF"/>
  <w15:docId w15:val="{AD6CC84F-D987-4437-81D1-FE736AFB7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24432/C5DW2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8</Pages>
  <Words>2690</Words>
  <Characters>14988</Characters>
  <Application>Microsoft Office Word</Application>
  <DocSecurity>0</DocSecurity>
  <Lines>356</Lines>
  <Paragraphs>232</Paragraphs>
  <ScaleCrop>false</ScaleCrop>
  <Company/>
  <LinksUpToDate>false</LinksUpToDate>
  <CharactersWithSpaces>17446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AI6124 Assignment 2 Cancer-versus-Non-Cancer Classification with ROC and Equal-Error-Rate Analysis</dc:title>
  <dc:creator>Hanny (NTU MSAI) | Matric Number: G12345678X</dc:creator>
  <cp:keywords/>
  <cp:lastModifiedBy>Hanny Zhang</cp:lastModifiedBy>
  <cp:revision>7</cp:revision>
  <dcterms:created xsi:type="dcterms:W3CDTF">2026-08-24T08:46:00Z</dcterms:created>
  <dcterms:modified xsi:type="dcterms:W3CDTF">2026-08-24T15:06:00Z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report evaluates supervised cancer screening on the NUH ovarian blood-assay data, with the Wisconsin Diagnostic Breast Cancer (WDBC) data as a lower-variance check. Eight representative classifiers are compared using test receiver operating characteristic (ROC) curves and repeated cross-validation. The main NUH target treats borderline tumours as screening-positive together with invasive cancers, because a false negative is the less acceptable error in this screening context; this convention is tested explicitly rather than presented as an unambiguous pathological label. Selecting on training out-of-fold (OOF) scores alone, random forest is chosen (OOF AUC 0.812, OOF equal error rate (EER) 0.236); its OOF threshold of 0.484 then yields test FPR/FNR of 0.214/0.231 on the untouched test split. A pooled repeated cross-validation over all cases, reported separately as a stability summary rather than a held-out estimate, ranks the same model first (AUC 0.845, EER 0.245). Reassigning or excluding borderline cases changes the random-forest CV EER to approximately 0.20, demonstrating material label-policy sensitivity. WDBC results are near saturation (test AUC 0.977–0.997), confirming the implementation on a well-conditioned data set.</vt:lpwstr>
  </property>
  <property fmtid="{D5CDD505-2E9C-101B-9397-08002B2CF9AE}" pid="3" name="date">
    <vt:lpwstr>2026-08-24</vt:lpwstr>
  </property>
</Properties>
</file>