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280" w:line="300" w:lineRule="auto"/>
        <w:jc w:val="left"/>
        <w:pBdr>
          <w:bottom w:val="single" w:sz="18" w:space="8" w:color="0E3F8C"/>
        </w:pBdr>
      </w:pPr>
      <w:r>
        <w:rPr>
          <w:rFonts w:ascii="Microsoft YaHei" w:hAnsi="Microsoft YaHei" w:eastAsia="Microsoft YaHei" w:cs="Microsoft YaHei"/>
          <w:b/>
          <w:i w:val="0"/>
          <w:color w:val="0E3F8C"/>
          <w:sz w:val="48"/>
        </w:rPr>
        <w:t>招采公告与附件数据质量分析报告</w:t>
      </w:r>
    </w:p>
    <w:p>
      <w:pPr>
        <w:keepNext w:val="0"/>
        <w:spacing w:before="120" w:after="0" w:line="288" w:lineRule="auto"/>
        <w:jc w:val="left"/>
      </w:pPr>
      <w:r>
        <w:rPr>
          <w:rFonts w:ascii="Microsoft YaHei" w:hAnsi="Microsoft YaHei" w:eastAsia="Microsoft YaHei" w:cs="Microsoft YaHei"/>
          <w:b w:val="0"/>
          <w:i w:val="0"/>
          <w:color w:val="4A5568"/>
          <w:sz w:val="22"/>
        </w:rPr>
        <w:t xml:space="preserve">初赛过程性文档   |   2026-10-14   |   版本 1.1</w:t>
      </w:r>
    </w:p>
    <w:p>
      <w:pPr>
        <w:keepNext w:val="0"/>
        <w:spacing w:before="40" w:after="0" w:line="288" w:lineRule="auto"/>
        <w:jc w:val="left"/>
      </w:pPr>
      <w:r>
        <w:rPr>
          <w:rFonts w:ascii="Microsoft YaHei" w:hAnsi="Microsoft YaHei" w:eastAsia="Microsoft YaHei" w:cs="Microsoft YaHei"/>
          <w:b w:val="0"/>
          <w:i w:val="0"/>
          <w:color w:val="8B97A8"/>
          <w:sz w:val="20"/>
        </w:rPr>
        <w:t>数据质量分析报告</w:t>
      </w:r>
    </w:p>
    <w:p>
      <w:r>
        <w:br w:type="page"/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1 数据范围与质量结论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系统已对 1,038 条采购公告及其附件完成本地处理与分类盘点，能够对复杂格式、失败附件、参考材料和无效下载响应保留来源并隔离处理。数据治理重点是让可用内容继续进入抽取流程，让异常内容可解释、可追溯，不让单个坏附件中断整批任务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本报告同时记录 2026-09-30 的附件快照和 2026-10-14 的官方结果补录复核。解析覆盖、字段抽取正确性和查询实现一致性是不同指标；解析产生文本不能直接视作七字段正确。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2 全量附件快照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0E3F8C"/>
          <w:bottom w:val="single" w:sz="14" w:space="0" w:color="0E3F8C"/>
          <w:insideH w:val="single" w:sz="4" w:space="0" w:color="D6DCE5"/>
          <w:left w:val="none" w:sz="0" w:space="0"/>
          <w:right w:val="none" w:sz="0" w:space="0"/>
          <w:insideV w:val="none" w:sz="0" w:space="0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986"/>
        <w:gridCol w:w="2986"/>
        <w:gridCol w:w="2986"/>
      </w:tblGrid>
      <w:tr>
        <w:trPr>
          <w:cantSplit/>
          <w:tblHeader/>
        </w:trPr>
        <w:tc>
          <w:tcPr>
            <w:tcW w:type="dxa" w:w="2986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统计项</w:t>
            </w:r>
          </w:p>
        </w:tc>
        <w:tc>
          <w:tcPr>
            <w:tcW w:type="dxa" w:w="2986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数量</w:t>
            </w:r>
          </w:p>
        </w:tc>
        <w:tc>
          <w:tcPr>
            <w:tcW w:type="dxa" w:w="2986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含义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公告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1,038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全量材料快照的公告数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附件叶文件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13,136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展开后文件，不含公告 HTML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成功或部分解析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12,124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获得文本、OCR 或表格结果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参考材料保留但不解析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986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按用途识别，保留来源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程序解析失败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19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17 PDF、2 DOC，按附件隔离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不支持格式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7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6 DWG、1 GBQ7，保留来源与告警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无效下载响应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87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进入解析前排除，另行统计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有 OCR 告警的公告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359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涉及 OCR 路径，不代表识别正确</w:t>
            </w:r>
          </w:p>
        </w:tc>
      </w:tr>
    </w:tbl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附件叶文件分类满足 12,124 + 986 + 19 + 7 = 13,136。87 个无效下载响应在解析前被识别，因此不再计入该分类总和。快照与分类详情见 docs/benchmarks/official-attachments-20260930.json。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3 质量控制方法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0E3F8C"/>
          <w:bottom w:val="single" w:sz="14" w:space="0" w:color="0E3F8C"/>
          <w:insideH w:val="single" w:sz="4" w:space="0" w:color="D6DCE5"/>
          <w:left w:val="none" w:sz="0" w:space="0"/>
          <w:right w:val="none" w:sz="0" w:space="0"/>
          <w:insideV w:val="none" w:sz="0" w:space="0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986"/>
        <w:gridCol w:w="2986"/>
        <w:gridCol w:w="2986"/>
      </w:tblGrid>
      <w:tr>
        <w:trPr>
          <w:cantSplit/>
          <w:tblHeader/>
        </w:trPr>
        <w:tc>
          <w:tcPr>
            <w:tcW w:type="dxa" w:w="2986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环节</w:t>
            </w:r>
          </w:p>
        </w:tc>
        <w:tc>
          <w:tcPr>
            <w:tcW w:type="dxa" w:w="2986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控制措施</w:t>
            </w:r>
          </w:p>
        </w:tc>
        <w:tc>
          <w:tcPr>
            <w:tcW w:type="dxa" w:w="2986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输出给用户的信息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内容识别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比对实际内容与扩展名；识别旧式 Office、WPS 和专有格式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实际格式、来源和格式差异告警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归档展开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限制深度、成员数和大小；损坏成员独立隔离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成员读取失败、超限和路径来源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文档解析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PDF 主解析器与回退、Office 转换、OCR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成功、部分成功、程序失败和 OCR 状态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材料用途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区分本次采购、历史案例、合同范本和参考材料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用途判断、过滤理由和保留来源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候选抽取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schema、数值、包号证据和跨文件对齐保护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字段、连续证据、冲突和 default 警告</w:t>
            </w:r>
          </w:p>
        </w:tc>
      </w:tr>
      <w:tr>
        <w:trPr>
          <w:cantSplit/>
        </w:trPr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人工复核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按质量信号排序，保留决定及前后值</w:t>
            </w:r>
          </w:p>
        </w:tc>
        <w:tc>
          <w:tcPr>
            <w:tcW w:type="dxa" w:w="2986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接受、修正、驳回和事件历史</w:t>
            </w:r>
          </w:p>
        </w:tc>
      </w:tr>
    </w:tbl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WPS 进入旧 Word 转换路径；GBQ7 和 DWG 明确保留为不支持格式。无效响应、不可恢复源文件和不支持内容不由模型补造。PDF 定向恢复或后续解析修复属于单独实验，不改写这份冻结快照。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4 字段与关系质量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七字段保存源材料中可支持的信息。项目总金额、中标主体金额和单个标的总价分别建模；金额保留十进制精度和单位。当前查询只汇总已披露的标的总价，不通过数量和单价替代原文缺失值。采购人天服务、税金等因素可能造成标的合计与项目总额不一致，不能据此自动判错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品牌与中标供应商分别处理，不以法律实体名称自动补品牌。参与主体保存 winner、nonwinner、unknown，结果未披露不等于未中标。名称型包号要求明确标签和值；缺可靠映射时使用 default，并提示包级统计可能合并。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5 官方结果补录与缺失分布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本轮使用保留的 1,038 份公告及压缩包，离线补录评审表、投标报价、得分和未中标原因等附表字段；不调用模型，也不覆盖原有任务一投影。补录扫描到 14,174 个来源成员，形成 6,477 条结构化观察；986 个成员按参考材料过滤，19 个成员单独记录为解析失败，311 个 PDF 因无可提取文字标记为需要人工查看，另有 262 个成员属于不支持格式或扫描待复核。该补录使用文本解析，未启用扫描件 OCR，因此这些记录不能宣称已完成字段抽取。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4" w:space="0" w:color="0E3F8C"/>
          <w:bottom w:val="single" w:sz="14" w:space="0" w:color="0E3F8C"/>
          <w:insideH w:val="single" w:sz="4" w:space="0" w:color="D6DCE5"/>
          <w:left w:val="none" w:sz="0" w:space="0"/>
          <w:right w:val="none" w:sz="0" w:space="0"/>
          <w:insideV w:val="none" w:sz="0" w:space="0"/>
        </w:tblBorders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211"/>
        <w:gridCol w:w="907"/>
        <w:gridCol w:w="907"/>
        <w:gridCol w:w="4933"/>
      </w:tblGrid>
      <w:tr>
        <w:trPr>
          <w:cantSplit/>
          <w:tblHeader/>
        </w:trPr>
        <w:tc>
          <w:tcPr>
            <w:tcW w:type="dxa" w:w="2211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结果表抽取列</w:t>
            </w:r>
          </w:p>
        </w:tc>
        <w:tc>
          <w:tcPr>
            <w:tcW w:type="dxa" w:w="907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非空行数</w:t>
            </w:r>
          </w:p>
        </w:tc>
        <w:tc>
          <w:tcPr>
            <w:tcW w:type="dxa" w:w="907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空值行数</w:t>
            </w:r>
          </w:p>
        </w:tc>
        <w:tc>
          <w:tcPr>
            <w:tcW w:type="dxa" w:w="4933"/>
            <w:shd w:val="clear" w:color="auto" w:fill="E8EFF8"/>
            <w:tcBorders>
              <w:bottom w:val="single" w:sz="10" w:color="0E3F8C"/>
            </w:tcBorders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口径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总表·中标供应商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1,315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538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1,853 行总表；只统计来源明确的中标记录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标的表·产品服务名称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6,459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13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6,472 行标的表；照录来源名称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标的表·品目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3,095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3,377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不凭产品名称补造品目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标的表·品牌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4,992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1,480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不用供应商名称代替品牌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标的表·规格型号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4,950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1,522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原文未可靠提取时留空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标的表·数量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5,911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561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保留可确认的数量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标的表·单价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4,193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2,279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6,472 行标的表；保留万元换算后的全部有效小数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标的表·总价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3,630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2,842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不以单价×数量覆盖缺失或冲突原值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投标人表·通过审查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4,030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1,376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5,406 行投标人表；仅有明确审查结论才填写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投标人表·报价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300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5,106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没有可靠货币单位时留空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投标人表·得分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4,358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1,048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不把排名当得分</w:t>
            </w:r>
          </w:p>
        </w:tc>
      </w:tr>
      <w:tr>
        <w:trPr>
          <w:cantSplit/>
        </w:trPr>
        <w:tc>
          <w:tcPr>
            <w:tcW w:type="dxa" w:w="2211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投标人表·未中标原因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right"/>
            </w:pPr>
            <w:r>
              <w:t xml:space="preserve">1,047</w:t>
            </w:r>
          </w:p>
        </w:tc>
        <w:tc>
          <w:tcPr>
            <w:tcW w:type="dxa" w:w="907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4,359</w:t>
            </w:r>
          </w:p>
        </w:tc>
        <w:tc>
          <w:tcPr>
            <w:tcW w:type="dxa" w:w="4933"/>
          </w:tcPr>
          <w:p>
            <w:pPr>
              <w:keepNext w:val="0"/>
              <w:spacing w:before="0" w:after="0" w:line="276" w:lineRule="auto"/>
              <w:jc w:val="left"/>
            </w:pPr>
            <w:r>
              <w:t xml:space="preserve">原文未披露时留空</w:t>
            </w:r>
          </w:p>
        </w:tc>
      </w:tr>
    </w:tbl>
    <w:p>
      <w:pPr>
        <w:keepNext w:val="0"/>
        <w:spacing w:before="0" w:after="0" w:line="240" w:lineRule="auto"/>
        <w:jc w:val="both"/>
      </w:pP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表中“空值”表示当前抽取没有足够证据，不等于原文未披露。来源处理计数来自补录回执，非空与空值计数直接扫描最终工作簿生成；两者分别描述处理过程和最终导出结果。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全量 HTML 公告的源包号与数据库包记录复核结果为 1,038/1,038 公告缺失 0、包号不一致 0；该覆盖不包含无法从 HTML 直接判断的附件内部包号。标的单价×数量与已披露总价的精确比较发现 11 条差异，均保留原文总价并在结果表“备注”列标记，未自动改写。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6 来源证据与复核流程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新导入保存可获得的采购单位元数据证据、标的列级证据、明确未公示或空单元格状态以及输入 SHA-256。公告详情显示来源文件、定位、片段、警告和哈希。同名文件对应多个哈希时提示歧义，不把错误哈希当作证据。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历史数据中未保存的证据不能追溯生成：非空旧值显示待核验，旧空值保留未知状态。哈希只用于核对文件内容，不等于保存原件；应用不提供未保留原始字节的旧附件下载。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人工复核队列根据字段缺失、证据不足、OCR 或附件告警、default 包号和金额冲突排序。接受、修正和驳回记录操作者、时间、理由及前后值，候选代次防止重新导入后串接旧历史。复核覆盖与原机器候选分开保存，不自动回写 Gold 或改变统计结果。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7 本地标注与质量复查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团队 reviewed 数据用于逐条对照原文和开发回归，预测不作为真值。当前 24 条样本已经参与过诊断，后续指标保持本地回归口径。来源修订生成 Gold v2 并保留旧版及修改台账；不覆盖历史预测和报告，不把两种 Gold 或两种 profile 的数字直接比较。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真实开发迭代证据来自 2026-10-09 固定的 24 条 reviewed 回归集：同口径的历史附件用途候选由 5、9 条降为 0，PDF 历史候选由 9 条降为 0；跨文件候选融合由 332 条降为 309 条且包数保持 59；cache-only 回放中 hybrid 153→146、model 149→139，10 条缺少 parse cache 被隔离，新模型请求为 0。这些数字是固定输入上的诊断对比，不是 1,038 条官方准确率，也不与本轮补录观察数相加。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质量复查覆盖正文表格、附件表格、扫描件、旧式 Office、多包、多中标人、零候选及异常响应。复查项包括公告身份、包号、七字段、采购单位、参与角色、来源定位、哈希、告警和处理决定。独立保留异常记录，避免只抽查成功案例。</w:t>
      </w:r>
    </w:p>
    <w:p>
      <w:pPr>
        <w:keepNext/>
        <w:spacing w:before="300" w:after="140" w:line="288" w:lineRule="auto"/>
        <w:jc w:val="left"/>
      </w:pPr>
      <w:r>
        <w:rPr>
          <w:rFonts w:ascii="Microsoft YaHei" w:hAnsi="Microsoft YaHei" w:eastAsia="Microsoft YaHei" w:cs="Microsoft YaHei"/>
          <w:b/>
          <w:i w:val="0"/>
          <w:color w:val="0E3F8C"/>
          <w:sz w:val="27"/>
        </w:rPr>
        <w:t xml:space="preserve">8 交付与数据管理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公开仓库提供解析代码、测试、schema、虚构样例和聚合质量统计。任务一结果表、任务二关系模型和运行清单按比赛要求进入受控交付包；API Key、评审密码、原始模型响应和本机路径不随公开仓库发布。</w:t>
      </w:r>
    </w:p>
    <w:p>
      <w:pPr>
        <w:keepNext w:val="0"/>
        <w:spacing w:before="0" w:after="140" w:line="360" w:lineRule="auto"/>
        <w:jc w:val="both"/>
      </w:pPr>
      <w:r>
        <w:rPr>
          <w:rFonts w:ascii="Microsoft YaHei" w:hAnsi="Microsoft YaHei" w:eastAsia="Microsoft YaHei" w:cs="Microsoft YaHei"/>
          <w:b w:val="0"/>
          <w:i w:val="0"/>
          <w:color w:val="1A2230"/>
          <w:sz w:val="21"/>
        </w:rPr>
        <w:t xml:space="preserve">统计的日期、输入范围和失败分类均可回溯至快照。1,038 条处理完成说明管线具备实际材料处理能力；字段准确性以明确 Gold、指标 profile 和匹配边界下的本地结果表述。该区分使评委可以分别核查系统能力、数据质量和算法效果。</w:t>
      </w:r>
    </w:p>
    <w:sectPr w:rsidR="00FC693F" w:rsidRPr="0006063C" w:rsidSect="00034616">
      <w:footerReference w:type="default" r:id="rId9"/>
      <w:pgSz w:w="11906" w:h="16838"/>
      <w:pgMar w:top="1361" w:right="1474" w:bottom="1247" w:left="1474" w:header="72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spacing w:before="0" w:after="0" w:line="240" w:lineRule="auto"/>
      <w:jc w:val="center"/>
      <w:pBdr>
        <w:top w:val="single" w:sz="4" w:space="4" w:color="D6DCE5"/>
      </w:pBdr>
    </w:pPr>
    <w:r/>
    <w:r>
      <w:rPr>
        <w:rFonts w:ascii="Microsoft YaHei" w:hAnsi="Microsoft YaHei" w:eastAsia="Microsoft YaHei" w:cs="Microsoft YaHei"/>
        <w:b w:val="0"/>
        <w:i w:val="0"/>
        <w:color w:val="8B97A8"/>
        <w:sz w:val="16"/>
      </w:rPr>
      <w:t>招采数据智能分析引擎 · 数据质量分析报告</w:t>
    </w:r>
    <w:r>
      <w:rPr>
        <w:rFonts w:ascii="Microsoft YaHei" w:hAnsi="Microsoft YaHei" w:eastAsia="Microsoft YaHei" w:cs="Microsoft YaHei"/>
        <w:b w:val="0"/>
        <w:i w:val="0"/>
        <w:color w:val="8B97A8"/>
        <w:sz w:val="16"/>
      </w:rPr>
      <w:t xml:space="preserve">        </w:t>
    </w:r>
    <w:r>
      <w:rPr>
        <w:rFonts w:ascii="Microsoft YaHei" w:hAnsi="Microsoft YaHei" w:eastAsia="Microsoft YaHei" w:cs="Microsoft YaHei"/>
        <w:b w:val="0"/>
        <w:i w:val="0"/>
        <w:color w:val="8B97A8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color w:val="1A22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