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招采公告与附件数据质量分析报告</w:t>
      </w:r>
    </w:p>
    <w:p>
      <w:pPr>
        <w:pStyle w:val="Subtitle"/>
      </w:pPr>
      <w:r>
        <w:t>初赛过程性文档 · 2026-10-11 · 版本 1.0</w:t>
      </w:r>
    </w:p>
    <w:p>
      <w:pPr>
        <w:pStyle w:val="Heading1"/>
      </w:pPr>
      <w:r>
        <w:t>1 数据范围与质量结论</w:t>
      </w:r>
    </w:p>
    <w:p>
      <w:r>
        <w:t>系统已对 1,038 条采购公告及其附件完成本地处理与分类盘点，能够对复杂格式、失败附件、参考材料和无效下载响应保留来源并隔离处理。数据治理重点是让可用内容继续进入抽取流程，让异常内容可解释、可追溯，不让单个坏附件中断整批任务。</w:t>
      </w:r>
    </w:p>
    <w:p>
      <w:r>
        <w:t>本报告数量对应 2026-09-30 的全量历史快照，不表示当前代码重新处理后的结果。解析覆盖、字段抽取正确性和查询实现一致性是不同指标；解析产生文本不能直接视作七字段正确。</w:t>
      </w:r>
    </w:p>
    <w:p>
      <w:pPr>
        <w:pStyle w:val="Heading1"/>
      </w:pPr>
      <w:r>
        <w:t>2 全量附件快照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1134"/>
        <w:gridCol w:w="5613"/>
      </w:tblGrid>
      <w:tr>
        <w:trPr>
          <w:cantSplit/>
          <w:tblHeader/>
        </w:trPr>
        <w:tc>
          <w:tcPr>
            <w:tcW w:type="dxa" w:w="289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统计项</w:t>
            </w:r>
          </w:p>
        </w:tc>
        <w:tc>
          <w:tcPr>
            <w:tcW w:type="dxa" w:w="113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数量</w:t>
            </w:r>
          </w:p>
        </w:tc>
        <w:tc>
          <w:tcPr>
            <w:tcW w:type="dxa" w:w="5613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公告</w:t>
            </w:r>
          </w:p>
        </w:tc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1,038</w:t>
            </w:r>
          </w:p>
        </w:tc>
        <w:tc>
          <w:tcPr>
            <w:tcW w:type="dxa" w:w="56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全量材料快照的公告数</w:t>
            </w:r>
          </w:p>
        </w:tc>
      </w:tr>
      <w:tr>
        <w:trPr>
          <w:cantSplit/>
        </w:trPr>
        <w:tc>
          <w:tcPr>
            <w:tcW w:type="dxa" w:w="289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附件叶文件</w:t>
            </w:r>
          </w:p>
        </w:tc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13,136</w:t>
            </w:r>
          </w:p>
        </w:tc>
        <w:tc>
          <w:tcPr>
            <w:tcW w:type="dxa" w:w="56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展开后文件，不含公告 HTML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成功或部分解析</w:t>
            </w:r>
          </w:p>
        </w:tc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12,124</w:t>
            </w:r>
          </w:p>
        </w:tc>
        <w:tc>
          <w:tcPr>
            <w:tcW w:type="dxa" w:w="56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获得文本、OCR 或表格结果</w:t>
            </w:r>
          </w:p>
        </w:tc>
      </w:tr>
      <w:tr>
        <w:trPr>
          <w:cantSplit/>
        </w:trPr>
        <w:tc>
          <w:tcPr>
            <w:tcW w:type="dxa" w:w="289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参考材料保留但不解析</w:t>
            </w:r>
          </w:p>
        </w:tc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986</w:t>
            </w:r>
          </w:p>
        </w:tc>
        <w:tc>
          <w:tcPr>
            <w:tcW w:type="dxa" w:w="56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按用途识别，保留来源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程序解析失败</w:t>
            </w:r>
          </w:p>
        </w:tc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56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17 PDF、2 DOC，按附件隔离</w:t>
            </w:r>
          </w:p>
        </w:tc>
      </w:tr>
      <w:tr>
        <w:trPr>
          <w:cantSplit/>
        </w:trPr>
        <w:tc>
          <w:tcPr>
            <w:tcW w:type="dxa" w:w="289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不支持格式</w:t>
            </w:r>
          </w:p>
        </w:tc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6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 DWG、1 GBQ7，保留来源与告警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无效下载响应</w:t>
            </w:r>
          </w:p>
        </w:tc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87</w:t>
            </w:r>
          </w:p>
        </w:tc>
        <w:tc>
          <w:tcPr>
            <w:tcW w:type="dxa" w:w="56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进入解析前排除，另行统计</w:t>
            </w:r>
          </w:p>
        </w:tc>
      </w:tr>
      <w:tr>
        <w:trPr>
          <w:cantSplit/>
        </w:trPr>
        <w:tc>
          <w:tcPr>
            <w:tcW w:type="dxa" w:w="289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有 OCR 告警的公告</w:t>
            </w:r>
          </w:p>
        </w:tc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359</w:t>
            </w:r>
          </w:p>
        </w:tc>
        <w:tc>
          <w:tcPr>
            <w:tcW w:type="dxa" w:w="56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涉及 OCR 路径，不代表识别正确</w:t>
            </w:r>
          </w:p>
        </w:tc>
      </w:tr>
    </w:tbl>
    <w:p>
      <w:pPr>
        <w:spacing w:after="20"/>
      </w:pPr>
    </w:p>
    <w:p>
      <w:r>
        <w:t>附件叶文件分类满足 12,124 + 986 + 19 + 7 = 13,136。87 个无效下载响应在解析前被识别，因此不再计入该分类总和。快照与分类详情见 docs/benchmarks/official-attachments-20260930.json。</w:t>
      </w:r>
    </w:p>
    <w:p>
      <w:r>
        <w:br w:type="page"/>
      </w:r>
    </w:p>
    <w:p>
      <w:pPr>
        <w:pStyle w:val="Heading1"/>
      </w:pPr>
      <w:r>
        <w:t>3 质量控制方法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5329"/>
      </w:tblGrid>
      <w:tr>
        <w:trPr>
          <w:cantSplit/>
          <w:tblHeader/>
        </w:trPr>
        <w:tc>
          <w:tcPr>
            <w:tcW w:type="dxa" w:w="1928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环节</w:t>
            </w:r>
          </w:p>
        </w:tc>
        <w:tc>
          <w:tcPr>
            <w:tcW w:type="dxa" w:w="238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控制措施</w:t>
            </w:r>
          </w:p>
        </w:tc>
        <w:tc>
          <w:tcPr>
            <w:tcW w:type="dxa" w:w="5329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输出给用户的信息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内容识别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比对实际内容与扩展名；识别旧式 Office、WPS 和专有格式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实际格式、来源和格式差异告警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归档展开</w:t>
            </w:r>
          </w:p>
        </w:tc>
        <w:tc>
          <w:tcPr>
            <w:tcW w:type="dxa" w:w="238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限制深度、成员数和大小；损坏成员独立隔离</w:t>
            </w:r>
          </w:p>
        </w:tc>
        <w:tc>
          <w:tcPr>
            <w:tcW w:type="dxa" w:w="532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成员读取失败、超限和路径来源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文档解析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主解析器与回退、Office 转换、OCR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成功、部分成功、程序失败和 OCR 状态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材料用途</w:t>
            </w:r>
          </w:p>
        </w:tc>
        <w:tc>
          <w:tcPr>
            <w:tcW w:type="dxa" w:w="238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区分本次采购、历史案例、合同范本和参考材料</w:t>
            </w:r>
          </w:p>
        </w:tc>
        <w:tc>
          <w:tcPr>
            <w:tcW w:type="dxa" w:w="532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用途判断、过滤理由和保留来源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候选抽取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schema、数值、包号证据和跨文件对齐保护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字段、连续证据、冲突和 default 警告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人工复核</w:t>
            </w:r>
          </w:p>
        </w:tc>
        <w:tc>
          <w:tcPr>
            <w:tcW w:type="dxa" w:w="238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按质量信号排序，保留决定及前后值</w:t>
            </w:r>
          </w:p>
        </w:tc>
        <w:tc>
          <w:tcPr>
            <w:tcW w:type="dxa" w:w="532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接受、修正、驳回和事件历史</w:t>
            </w:r>
          </w:p>
        </w:tc>
      </w:tr>
    </w:tbl>
    <w:p>
      <w:pPr>
        <w:spacing w:after="20"/>
      </w:pPr>
    </w:p>
    <w:p>
      <w:r>
        <w:t>WPS 进入旧 Word 转换路径；GBQ7 和 DWG 明确保留为不支持格式。无效响应、不可恢复源文件和不支持内容不由模型补造。PDF 定向恢复或后续解析修复属于单独实验，不改写这份冻结快照。</w:t>
      </w:r>
    </w:p>
    <w:p>
      <w:pPr>
        <w:pStyle w:val="Heading1"/>
      </w:pPr>
      <w:r>
        <w:t>4 字段与关系质量</w:t>
      </w:r>
    </w:p>
    <w:p>
      <w:r>
        <w:t>七字段保存源材料中可支持的信息。项目总金额、中标主体金额和单个标的总价分别建模；金额保留十进制精度和单位。当前查询只汇总已披露的标的总价，不通过数量和单价替代原文缺失值。采购人天服务、税金等因素可能造成标的合计与项目总额不一致，不能据此自动判错。</w:t>
      </w:r>
    </w:p>
    <w:p>
      <w:r>
        <w:t>品牌与中标供应商分别处理，不以法律实体名称自动补品牌。参与主体保存 winner、nonwinner、unknown，结果未披露不等于未中标。名称型包号要求明确标签和值；缺可靠映射时使用 default，并提示包级统计可能合并。</w:t>
      </w:r>
    </w:p>
    <w:p>
      <w:r>
        <w:br w:type="page"/>
      </w:r>
    </w:p>
    <w:p>
      <w:pPr>
        <w:pStyle w:val="Heading1"/>
      </w:pPr>
      <w:r>
        <w:t>5 来源证据与复核流程</w:t>
      </w:r>
    </w:p>
    <w:p>
      <w:r>
        <w:t>新导入保存可获得的采购单位元数据证据、标的列级证据、明确未公示或空单元格状态以及输入 SHA-256。公告详情显示来源文件、定位、片段、警告和哈希。同名文件对应多个哈希时提示歧义，不把错误哈希当作证据。</w:t>
      </w:r>
    </w:p>
    <w:p>
      <w:r>
        <w:t>历史数据中未保存的证据不能追溯生成：非空旧值显示待核验，旧空值保留未知状态。哈希只用于核对文件内容，不等于保存原件；应用不提供未保留原始字节的旧附件下载。</w:t>
      </w:r>
    </w:p>
    <w:p>
      <w:r>
        <w:t>人工复核队列根据字段缺失、证据不足、OCR 或附件告警、default 包号和金额冲突排序。接受、修正和驳回记录操作者、时间、理由及前后值，候选代次防止重新导入后串接旧历史。复核覆盖与原机器候选分开保存，不自动回写 Gold 或改变统计结果。</w:t>
      </w:r>
    </w:p>
    <w:p>
      <w:pPr>
        <w:pStyle w:val="Heading1"/>
      </w:pPr>
      <w:r>
        <w:t>6 本地标注与质量复查</w:t>
      </w:r>
    </w:p>
    <w:p>
      <w:r>
        <w:t>团队 reviewed 数据用于逐条对照原文和开发回归，预测不作为真值。当前 24 条样本已经参与过诊断，后续指标保持本地回归口径。来源修订生成 Gold v2 并保留旧版及修改台账；不覆盖历史预测和报告，不把两种 Gold 或两种 profile 的数字直接比较。</w:t>
      </w:r>
    </w:p>
    <w:p>
      <w:r>
        <w:t>质量复查覆盖正文表格、附件表格、扫描件、旧式 Office、多包、多中标人、零候选及异常响应。复查项包括公告身份、包号、七字段、采购单位、参与角色、来源定位、哈希、告警和处理决定。独立保留异常记录，避免只抽查成功案例。</w:t>
      </w:r>
    </w:p>
    <w:p>
      <w:pPr>
        <w:pStyle w:val="Heading1"/>
      </w:pPr>
      <w:r>
        <w:t>7 交付与数据管理</w:t>
      </w:r>
    </w:p>
    <w:p>
      <w:r>
        <w:t>公开仓库提供解析代码、测试、schema、虚构样例和聚合质量统计。任务一结果表、任务二关系模型和运行清单按比赛要求进入受控交付包；API Key、评审密码、原始模型响应和本机路径不随公开仓库发布。</w:t>
      </w:r>
    </w:p>
    <w:p>
      <w:r>
        <w:t>统计的日期、输入范围和失败分类均可回溯至快照。1,038 条处理完成说明管线具备实际材料处理能力；字段准确性以明确 Gold、指标 profile 和匹配边界下的本地结果表述。该区分使评委可以分别核查系统能力、数据质量和算法效果。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184"/>
        <w:sz w:val="16"/>
      </w:rPr>
      <w:t xml:space="preserve">招采数据智能分析引擎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eastAsia="Microsoft YaHei"/>
      <w:b w:val="0"/>
      <w:i w:val="0"/>
      <w:color w:val="222222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9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40"/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657184"/>
      <w:spacing w:val="15"/>
      <w:sz w:val="19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招采公告与附件数据质量分析报告</dc:title>
  <dc:subject>初赛作品交付文档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