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招采数据智能分析引擎系统设计报告</w:t>
      </w:r>
    </w:p>
    <w:p>
      <w:pPr>
        <w:pStyle w:val="Subtitle"/>
      </w:pPr>
      <w:r>
        <w:t>初赛作品说明 · 2026-10-11 · 版本 1.0</w:t>
      </w:r>
    </w:p>
    <w:p>
      <w:pPr>
        <w:pStyle w:val="Heading1"/>
      </w:pPr>
      <w:r>
        <w:t>核心成果预览</w:t>
      </w:r>
    </w:p>
    <w:p>
      <w:r>
        <w:t>本作品面向采购业务人员和数据核查人员，将分散在公告与复杂附件中的信息转成可检索的实体、可解释的关系和可追溯的复核记录。系统已形成材料导入、七字段抽取、五类关系查询、来源证据查看、人工复核和公告版本比较的完整操作链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969"/>
        <w:gridCol w:w="3628"/>
      </w:tblGrid>
      <w:tr>
        <w:trPr>
          <w:cantSplit/>
          <w:tblHeader/>
        </w:trPr>
        <w:tc>
          <w:tcPr>
            <w:tcW w:type="dxa" w:w="2041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业务需求</w:t>
            </w:r>
          </w:p>
        </w:tc>
        <w:tc>
          <w:tcPr>
            <w:tcW w:type="dxa" w:w="3969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已实现能力</w:t>
            </w:r>
          </w:p>
        </w:tc>
        <w:tc>
          <w:tcPr>
            <w:tcW w:type="dxa" w:w="3628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可演示结果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从复杂材料取数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HTML、Office、PDF、图片 OCR、ZIP/RAR/7z；三条抽取路线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七字段、采购单位、参与主体、中标记录与解析告警</w:t>
            </w:r>
          </w:p>
        </w:tc>
      </w:tr>
      <w:tr>
        <w:trPr>
          <w:cantSplit/>
        </w:trPr>
        <w:tc>
          <w:tcPr>
            <w:tcW w:type="dxa" w:w="204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从结果回到原文</w:t>
            </w:r>
          </w:p>
        </w:tc>
        <w:tc>
          <w:tcPr>
            <w:tcW w:type="dxa" w:w="396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新导入保存文件哈希、来源定位、字段证据与空值状态</w:t>
            </w:r>
          </w:p>
        </w:tc>
        <w:tc>
          <w:tcPr>
            <w:tcW w:type="dxa" w:w="36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在公告详情中查看证据片段和来源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从实体发现关系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五类查询、关系线索卡、图搜索、有界 1-hop 子图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查看项目数、包数、金额和关联公告</w:t>
            </w:r>
          </w:p>
        </w:tc>
      </w:tr>
      <w:tr>
        <w:trPr>
          <w:cantSplit/>
        </w:trPr>
        <w:tc>
          <w:tcPr>
            <w:tcW w:type="dxa" w:w="204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从候选形成复核记录</w:t>
            </w:r>
          </w:p>
        </w:tc>
        <w:tc>
          <w:tcPr>
            <w:tcW w:type="dxa" w:w="396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接受、修正、驳回；保存理由、前后值和候选代次</w:t>
            </w:r>
          </w:p>
        </w:tc>
        <w:tc>
          <w:tcPr>
            <w:tcW w:type="dxa" w:w="36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复核事件与机器候选分离保存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从单次导入扩展到批处理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目录浏览预检、有界并发、检查点、暂停续跑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可恢复任务和逐公告结果</w:t>
            </w:r>
          </w:p>
        </w:tc>
      </w:tr>
    </w:tbl>
    <w:p>
      <w:pPr>
        <w:spacing w:after="20"/>
      </w:pPr>
    </w:p>
    <w:p>
      <w:r>
        <w:t>截至代码基线 c1fc4c4 的验收记录，后端 662 项测试通过，前端 80 项通过，Ruff 和生产构建通过。2026-09-30 全量材料快照覆盖 1,038 条公告和 13,136 个附件叶文件。测试与材料处理数量属于团队工程验证，不能替代字段质量指标。</w:t>
      </w:r>
    </w:p>
    <w:p>
      <w:r>
        <w:br w:type="page"/>
      </w:r>
    </w:p>
    <w:p>
      <w:pPr>
        <w:pStyle w:val="Heading1"/>
      </w:pPr>
      <w:r>
        <w:t>1 业务需求与技术选型</w:t>
      </w:r>
    </w:p>
    <w:p>
      <w:r>
        <w:t>任务一提取产品或服务名称、品目、品牌、规格型号、单价、数量、总价，并保存采购单位、投标主体和中标记录。任务二围绕采购单位、供应商、项目和采购包建立关系，支持五类指定查询。任务三通过 Vue 分析台提供导入、检索、统计、图展示和复核入口。</w:t>
      </w:r>
    </w:p>
    <w:p>
      <w:r>
        <w:t>系统优先保存事实和来源。原文未披露的信息保留空值；名称型包号只有在明确标签和值的连续证据通过校验时接受。自动抽取结果作为候选进入系统，人工修正以独立覆盖记录保存，不回写原始机器候选或自动改变统计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技术选择</w:t>
            </w:r>
          </w:p>
        </w:tc>
        <w:tc>
          <w:tcPr>
            <w:tcW w:type="dxa" w:w="7313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采用理由与职责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Vue 3 与 Vite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将分析、图搜索、证据弹层、复核和版本历史组织为可交互工作台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Python 与 FastAPI</w:t>
            </w:r>
          </w:p>
        </w:tc>
        <w:tc>
          <w:tcPr>
            <w:tcW w:type="dxa" w:w="73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统一多格式解析、模型调用、严格结构校验和业务 API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SQLite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每数据集独立文件，部署轻量；承担写入、默认查询和图投影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Neo4j</w:t>
            </w:r>
          </w:p>
        </w:tc>
        <w:tc>
          <w:tcPr>
            <w:tcW w:type="dxa" w:w="73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可选五类分析后端；连接、同步或查询失败时按请求回退 SQLite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Qwen 或 DeepSeek 兼容 API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配置化使用模型语义能力；规则路线保留离线处理能力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本地 OCR 与 Office 转换</w:t>
            </w:r>
          </w:p>
        </w:tc>
        <w:tc>
          <w:tcPr>
            <w:tcW w:type="dxa" w:w="73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为扫描件和旧式文档建立统一文本入口，记录处理来源与告警</w:t>
            </w:r>
          </w:p>
        </w:tc>
      </w:tr>
    </w:tbl>
    <w:p>
      <w:pPr>
        <w:spacing w:after="20"/>
      </w:pPr>
    </w:p>
    <w:p>
      <w:pPr>
        <w:pStyle w:val="Heading1"/>
      </w:pPr>
      <w:r>
        <w:t>2 总体架构</w:t>
      </w:r>
    </w:p>
    <w:p>
      <w:r>
        <w:t>数据依次经过内容识别与归档展开、文本与表格解析、三路线抽取、用途与证据校验、候选持久化，再由查询和复核模块消费。解析、模型请求与任务队列分别设置并发边界，避免批处理无限累积请求和文档对象。</w:t>
      </w:r>
    </w:p>
    <w:p>
      <w:r>
        <w:t>浏览器通过 FastAPI 访问当前数据集；X-Dataset-ID 控制数据集选择。五类分析 API 可读取 Neo4j 数据集镜像，响应报告实际后端；图搜索和关系线索读取 SQLite。公告版本保存不可变快照，版本比较读取冻结证据，不覆盖原版本。</w:t>
      </w:r>
    </w:p>
    <w:p>
      <w:r>
        <w:br w:type="page"/>
      </w:r>
    </w:p>
    <w:p>
      <w:pPr>
        <w:pStyle w:val="Heading1"/>
      </w:pPr>
      <w:r>
        <w:t>3 数据模型与统计口径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数据对象</w:t>
            </w:r>
          </w:p>
        </w:tc>
        <w:tc>
          <w:tcPr>
            <w:tcW w:type="dxa" w:w="7313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核心职责与关系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organizations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采购单位、供应商和投标主体；保留原名与别名，保守归一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projects 与 packages</w:t>
            </w:r>
          </w:p>
        </w:tc>
        <w:tc>
          <w:tcPr>
            <w:tcW w:type="dxa" w:w="73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公告项目和采购包；项目频次与包数分别统计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bid_participations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主体参与采购包的关系；区分 winner、nonwinner、unknown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awards</w:t>
            </w:r>
          </w:p>
        </w:tc>
        <w:tc>
          <w:tcPr>
            <w:tcW w:type="dxa" w:w="73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明确中标关系及其金额；不以项目总额替代主体中标金额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procurement_items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标的七字段、来源定位、字段证据及抽取方法</w:t>
            </w:r>
          </w:p>
        </w:tc>
      </w:tr>
      <w:tr>
        <w:trPr>
          <w:cantSplit/>
        </w:trPr>
        <w:tc>
          <w:tcPr>
            <w:tcW w:type="dxa" w:w="232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复核事件</w:t>
            </w:r>
          </w:p>
        </w:tc>
        <w:tc>
          <w:tcPr>
            <w:tcW w:type="dxa" w:w="7313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决定、操作者、时间、理由、前后值、候选代次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公告版本</w:t>
            </w:r>
          </w:p>
        </w:tc>
        <w:tc>
          <w:tcPr>
            <w:tcW w:type="dxa" w:w="731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身份、不可变快照、文件哈希、结构化差异及冻结证据</w:t>
            </w:r>
          </w:p>
        </w:tc>
      </w:tr>
    </w:tbl>
    <w:p>
      <w:pPr>
        <w:spacing w:after="20"/>
      </w:pPr>
    </w:p>
    <w:p>
      <w:r>
        <w:t>五类查询包括：采购单位的合作供应商与产品供应商；采购单位的高频参与主体和共同参与组合；指定中标供应商的共同竞标者；多供应商的共同采购单位；多供应商共同参与的项目。参与关系默认纳入已记录的 winner、nonwinner 和 unknown，结果未知不推断为未中标。</w:t>
      </w:r>
    </w:p>
    <w:p>
      <w:r>
        <w:t>合作频次按项目去重，并保留包数和包明细。中标金额按唯一 award 记录累加，不按金额相同去重。产品供应商按赛题品牌口径单独展示，其金额只汇总已披露的标的总价，不分摊项目总额或中标交易额。详细定义见 docs/QUERY_SEMANTICS.md。</w:t>
      </w:r>
    </w:p>
    <w:p>
      <w:pPr>
        <w:pStyle w:val="Heading1"/>
      </w:pPr>
      <w:r>
        <w:t>4 功能设计与使用路径</w:t>
      </w:r>
    </w:p>
    <w:p>
      <w:r>
        <w:t>导入者可上传单条公告材料，或在服务器授权根目录内浏览批量材料、预检并创建任务。任务支持模式和 OCR 配置冻结、暂停、续跑、失败重试与幂等入库。</w:t>
      </w:r>
    </w:p>
    <w:p>
      <w:r>
        <w:t>分析者可搜索主体或项目，在受控子图中查看关系，再由线索卡跳转公告证据。卡片可收起长明细，公告详情在视口居中显示并独立滚动。受控自然语言查询先展示解析场景和过滤条件，只执行五类白名单查询，拒绝任意 SQL、Cypher 和写操作。</w:t>
      </w:r>
    </w:p>
    <w:p>
      <w:r>
        <w:t>复核者可按缺字段、证据缺失、OCR 告警、default 包号和金额冲突排序查看候选。版本历史可比较前后公告和附件变化；身份不明确的材料独立保存并提示确认。版本功能不自动把分析切换为“只统计最新版本”。</w:t>
      </w:r>
    </w:p>
    <w:p>
      <w:r>
        <w:br w:type="page"/>
      </w:r>
    </w:p>
    <w:p>
      <w:pPr>
        <w:pStyle w:val="Heading1"/>
      </w:pPr>
      <w:r>
        <w:t>5 验证与成果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5329"/>
      </w:tblGrid>
      <w:tr>
        <w:trPr>
          <w:cantSplit/>
          <w:tblHeader/>
        </w:trPr>
        <w:tc>
          <w:tcPr>
            <w:tcW w:type="dxa" w:w="1928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验证范围</w:t>
            </w:r>
          </w:p>
        </w:tc>
        <w:tc>
          <w:tcPr>
            <w:tcW w:type="dxa" w:w="2381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已有结果</w:t>
            </w:r>
          </w:p>
        </w:tc>
        <w:tc>
          <w:tcPr>
            <w:tcW w:type="dxa" w:w="5329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证据说明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后端自动化</w:t>
            </w:r>
          </w:p>
        </w:tc>
        <w:tc>
          <w:tcPr>
            <w:tcW w:type="dxa" w:w="238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662 passed，7 skipped，2 warnings</w:t>
            </w:r>
          </w:p>
        </w:tc>
        <w:tc>
          <w:tcPr>
            <w:tcW w:type="dxa" w:w="532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2026-10-11 基线 c1fc4c4；跳过项涉及 Neo4j、LibreOffice 和符号链接环境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前端与构建</w:t>
            </w:r>
          </w:p>
        </w:tc>
        <w:tc>
          <w:tcPr>
            <w:tcW w:type="dxa" w:w="238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80 passed；生产构建通过</w:t>
            </w:r>
          </w:p>
        </w:tc>
        <w:tc>
          <w:tcPr>
            <w:tcW w:type="dxa" w:w="532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保留主 bundle 体积提示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公告版本专项</w:t>
            </w:r>
          </w:p>
        </w:tc>
        <w:tc>
          <w:tcPr>
            <w:tcW w:type="dxa" w:w="238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88 passed</w:t>
            </w:r>
          </w:p>
        </w:tc>
        <w:tc>
          <w:tcPr>
            <w:tcW w:type="dxa" w:w="532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覆盖版本、比较、证据与隔离行为</w:t>
            </w:r>
          </w:p>
        </w:tc>
      </w:tr>
      <w:tr>
        <w:trPr>
          <w:cantSplit/>
        </w:trPr>
        <w:tc>
          <w:tcPr>
            <w:tcW w:type="dxa" w:w="19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全量材料处理快照</w:t>
            </w:r>
          </w:p>
        </w:tc>
        <w:tc>
          <w:tcPr>
            <w:tcW w:type="dxa" w:w="238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1,038 条公告；13,136 个附件叶文件</w:t>
            </w:r>
          </w:p>
        </w:tc>
        <w:tc>
          <w:tcPr>
            <w:tcW w:type="dxa" w:w="532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2026-09-30；体现处理与分类覆盖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查询一致性</w:t>
            </w:r>
          </w:p>
        </w:tc>
        <w:tc>
          <w:tcPr>
            <w:tcW w:type="dxa" w:w="238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SQLite/Neo4j 各 6471/6471</w:t>
            </w:r>
          </w:p>
        </w:tc>
        <w:tc>
          <w:tcPr>
            <w:tcW w:type="dxa" w:w="532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2026-10-08 GAP 2.12 团队 reviewed tuning Gold 对照记录</w:t>
            </w:r>
          </w:p>
        </w:tc>
      </w:tr>
    </w:tbl>
    <w:p>
      <w:pPr>
        <w:spacing w:after="20"/>
      </w:pPr>
    </w:p>
    <w:p>
      <w:r>
        <w:t>24 条 reviewed 数据上的三路线运行记录用于开发回归，已经参与过调试，不作为独立泛化结论。本报告沿用既有验收记录，文档整理期间没有重新调用模型或重跑全量数据。指标定义、时间范围和来源见技术路线与数据质量报告。</w:t>
      </w:r>
    </w:p>
    <w:p>
      <w:pPr>
        <w:pStyle w:val="Heading1"/>
      </w:pPr>
      <w:r>
        <w:t>6 部署与运行保障</w:t>
      </w:r>
    </w:p>
    <w:p>
      <w:r>
        <w:t>仓库提供依赖清单、环境示例、启动与停止脚本、离线样例、账号配置和局域网诊断。运行入口见 README.md，技术环境与命令见 docs/DEVELOPMENT.md。模型端点通过配置接入，无模型时可用 rules 路线完成离线导入和查询。</w:t>
      </w:r>
    </w:p>
    <w:p>
      <w:r>
        <w:t>评审会话使用 HttpOnly、SameSite=Strict Cookie；HTTPS 部署启用 Secure 属性。批量目录访问限定在 INTAKE_ROOT，部署者负责该目录的文件写权限。API Key、密码和本地数据库不进入公开源码包。</w:t>
      </w:r>
    </w:p>
    <w:p>
      <w:r>
        <w:t>源文件不可用、专有格式不支持和证据缺失均以明确状态呈现。应用不长期保存原始文件字节，历史缺失证据不补造。图投影使用 SQLite，Neo4j 控制五类分析 API；并发机制面向单机服务，不提供跨主机分布式锁。</w:t>
      </w:r>
    </w:p>
    <w:p>
      <w:pPr>
        <w:pStyle w:val="Heading1"/>
      </w:pPr>
      <w:r>
        <w:t>7 配套资料</w:t>
      </w:r>
    </w:p>
    <w:p>
      <w:r>
        <w:t>docs/ARCHITECTURE.md 保存架构与数据流；docs/QUERY_SEMANTICS.md 保存业务统计口径；docs/CHANGELOG.md 和 docs/archive/reports/agent-notice-versioning-report.md 保存验收记录；deliverables/source-data-index.md 说明源码、任务一结果表和任务二数据模型的交付结构。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184"/>
        <w:sz w:val="16"/>
      </w:rPr>
      <w:t xml:space="preserve">招采数据智能分析引擎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eastAsia="Microsoft YaHei"/>
      <w:b w:val="0"/>
      <w:i w:val="0"/>
      <w:color w:val="222222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183B56"/>
      <w:sz w:val="29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183B56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40"/>
    </w:pPr>
    <w:rPr>
      <w:rFonts w:asciiTheme="majorHAnsi" w:eastAsiaTheme="majorEastAsia" w:hAnsiTheme="majorHAnsi" w:cstheme="majorBidi" w:ascii="Aptos" w:hAnsi="Aptos" w:eastAsia="Microsoft YaHei"/>
      <w:b w:val="0"/>
      <w:i w:val="0"/>
      <w:iCs/>
      <w:color w:val="657184"/>
      <w:spacing w:val="15"/>
      <w:sz w:val="19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招采数据智能分析引擎系统设计报告</dc:title>
  <dc:subject>初赛作品交付文档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