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招采数据实体抽取技术路线对比报告</w:t>
      </w:r>
    </w:p>
    <w:p>
      <w:pPr>
        <w:pStyle w:val="Subtitle"/>
      </w:pPr>
      <w:r>
        <w:t>初赛过程性文档 · 2026-10-11 · 版本 1.0</w:t>
      </w:r>
    </w:p>
    <w:p>
      <w:pPr>
        <w:pStyle w:val="Heading1"/>
      </w:pPr>
      <w:r>
        <w:t>1 方案选择与适用范围</w:t>
      </w:r>
    </w:p>
    <w:p>
      <w:r>
        <w:t>系统实现 rules、model、hybrid 三条路线，共用材料解析、结构化 schema、用途过滤和来源证据保护。业务导入选择 hybrid 以结合结构规则与模型语义能力，规则路线用于离线和低成本场景，模型路线作为语义覆盖的可选方案。该工程选择兼顾可核查性与运行条件，并不宣称 hybrid 在所有质量指标上领先。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154"/>
        <w:gridCol w:w="3855"/>
      </w:tblGrid>
      <w:tr>
        <w:trPr>
          <w:cantSplit/>
          <w:tblHeader/>
        </w:trPr>
        <w:tc>
          <w:tcPr>
            <w:tcW w:type="dxa" w:w="1134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路线</w:t>
            </w:r>
          </w:p>
        </w:tc>
        <w:tc>
          <w:tcPr>
            <w:tcW w:type="dxa" w:w="2494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主要工作</w:t>
            </w:r>
          </w:p>
        </w:tc>
        <w:tc>
          <w:tcPr>
            <w:tcW w:type="dxa" w:w="2154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优势</w:t>
            </w:r>
          </w:p>
        </w:tc>
        <w:tc>
          <w:tcPr>
            <w:tcW w:type="dxa" w:w="3855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主要控制措施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rules</w:t>
            </w:r>
          </w:p>
        </w:tc>
        <w:tc>
          <w:tcPr>
            <w:tcW w:type="dxa" w:w="249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显式标签、表格、包号及金额解析</w:t>
            </w:r>
          </w:p>
        </w:tc>
        <w:tc>
          <w:tcPr>
            <w:tcW w:type="dxa" w:w="21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低成本、可重复、离线可运行</w:t>
            </w:r>
          </w:p>
        </w:tc>
        <w:tc>
          <w:tcPr>
            <w:tcW w:type="dxa" w:w="385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排除章节标题、联系块和附件占位；保留来源</w:t>
            </w:r>
          </w:p>
        </w:tc>
      </w:tr>
      <w:tr>
        <w:trPr>
          <w:cantSplit/>
        </w:trPr>
        <w:tc>
          <w:tcPr>
            <w:tcW w:type="dxa" w:w="113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model</w:t>
            </w:r>
          </w:p>
        </w:tc>
        <w:tc>
          <w:tcPr>
            <w:tcW w:type="dxa" w:w="249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自由文本与复杂上下文抽取</w:t>
            </w:r>
          </w:p>
        </w:tc>
        <w:tc>
          <w:tcPr>
            <w:tcW w:type="dxa" w:w="215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补充规则难覆盖的语义</w:t>
            </w:r>
          </w:p>
        </w:tc>
        <w:tc>
          <w:tcPr>
            <w:tcW w:type="dxa" w:w="3855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严格 JSON/schema、来源与包号证据校验；失败隔离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hybrid</w:t>
            </w:r>
          </w:p>
        </w:tc>
        <w:tc>
          <w:tcPr>
            <w:tcW w:type="dxa" w:w="249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规则与模型候选对齐和融合</w:t>
            </w:r>
          </w:p>
        </w:tc>
        <w:tc>
          <w:tcPr>
            <w:tcW w:type="dxa" w:w="215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结合结构定位与语义候选</w:t>
            </w:r>
          </w:p>
        </w:tc>
        <w:tc>
          <w:tcPr>
            <w:tcW w:type="dxa" w:w="385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一对一匹配、数值冲突保护、合法重复记录保护</w:t>
            </w:r>
          </w:p>
        </w:tc>
      </w:tr>
    </w:tbl>
    <w:p>
      <w:pPr>
        <w:spacing w:after="20"/>
      </w:pPr>
    </w:p>
    <w:p>
      <w:r>
        <w:t>OCR 是三条路线共同的文本入口，不是单独的最终抽取方案。扫描件识别后仍保存 OCR 状态和告警，以便人工复核。系统没有模型训练或 LoRA/QLoRA 微调过程，创新集中在材料治理、证据约束、候选融合和可恢复任务编排。</w:t>
      </w:r>
    </w:p>
    <w:p>
      <w:pPr>
        <w:pStyle w:val="Heading1"/>
      </w:pPr>
      <w:r>
        <w:t>2 抽取流程</w:t>
      </w:r>
    </w:p>
    <w:p>
      <w:r>
        <w:t>系统先识别真实文件内容并展开归档，限制成员数、深度和展开大小；随后解析正文、表格、Office、PDF 和图片。规则与模型输出统一七字段及主体结构。模型输出进入数据库前还需通过 schema、当前采购用途、包号证据和融合校验。</w:t>
      </w:r>
    </w:p>
    <w:p>
      <w:r>
        <w:t>名称型包号必须同时具备明确标签和值的连续证据；无法建立可靠映射时保留 default。参考资料或历史合同中出现过的标的，不因文本匹配就被认定为本次采购。来源不充分的候选保留可解释警告，供人工判断。</w:t>
      </w:r>
    </w:p>
    <w:p>
      <w:r>
        <w:br w:type="page"/>
      </w:r>
    </w:p>
    <w:p>
      <w:pPr>
        <w:pStyle w:val="Heading1"/>
      </w:pPr>
      <w:r>
        <w:t>3 本地路线比较</w:t>
      </w:r>
    </w:p>
    <w:p>
      <w:r>
        <w:t>以下是 2026-10-09 的历史开发回归记录：24 条 reviewed 公告，attachments 范围，模型配置名 qwen3.8-max，三条路线均完成 24/24。样本已参与开发调试，使用当时的 Gold v1 和预测；本表不是当前代码重跑结果，也不是独立泛化成绩。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2551"/>
        <w:gridCol w:w="3685"/>
      </w:tblGrid>
      <w:tr>
        <w:trPr>
          <w:cantSplit/>
          <w:tblHeader/>
        </w:trPr>
        <w:tc>
          <w:tcPr>
            <w:tcW w:type="dxa" w:w="1134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路线</w:t>
            </w:r>
          </w:p>
        </w:tc>
        <w:tc>
          <w:tcPr>
            <w:tcW w:type="dxa" w:w="2268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字段加权分</w:t>
            </w:r>
          </w:p>
        </w:tc>
        <w:tc>
          <w:tcPr>
            <w:tcW w:type="dxa" w:w="2551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完整记录加权分</w:t>
            </w:r>
          </w:p>
        </w:tc>
        <w:tc>
          <w:tcPr>
            <w:tcW w:type="dxa" w:w="3685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公告级包号集合精确对齐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rules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63.28%</w:t>
            </w:r>
          </w:p>
        </w:tc>
        <w:tc>
          <w:tcPr>
            <w:tcW w:type="dxa" w:w="255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21.93%</w:t>
            </w:r>
          </w:p>
        </w:tc>
        <w:tc>
          <w:tcPr>
            <w:tcW w:type="dxa" w:w="36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14/24（58.33%）</w:t>
            </w:r>
          </w:p>
        </w:tc>
      </w:tr>
      <w:tr>
        <w:trPr>
          <w:cantSplit/>
        </w:trPr>
        <w:tc>
          <w:tcPr>
            <w:tcW w:type="dxa" w:w="1134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hybrid</w:t>
            </w:r>
          </w:p>
        </w:tc>
        <w:tc>
          <w:tcPr>
            <w:tcW w:type="dxa" w:w="226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64.67%</w:t>
            </w:r>
          </w:p>
        </w:tc>
        <w:tc>
          <w:tcPr>
            <w:tcW w:type="dxa" w:w="255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27.03%</w:t>
            </w:r>
          </w:p>
        </w:tc>
        <w:tc>
          <w:tcPr>
            <w:tcW w:type="dxa" w:w="3685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9/24（37.50%）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model</w:t>
            </w:r>
          </w:p>
        </w:tc>
        <w:tc>
          <w:tcPr>
            <w:tcW w:type="dxa" w:w="22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68.42%</w:t>
            </w:r>
          </w:p>
        </w:tc>
        <w:tc>
          <w:tcPr>
            <w:tcW w:type="dxa" w:w="255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32.69%</w:t>
            </w:r>
          </w:p>
        </w:tc>
        <w:tc>
          <w:tcPr>
            <w:tcW w:type="dxa" w:w="368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10/24（41.67%）</w:t>
            </w:r>
          </w:p>
        </w:tc>
      </w:tr>
    </w:tbl>
    <w:p>
      <w:pPr>
        <w:spacing w:after="20"/>
      </w:pPr>
    </w:p>
    <w:p>
      <w:r>
        <w:t>本表采用团队本地 official_qa profile，按赛题答疑的 P/N 四格解释计算：Accuracy = (TP + TN) / (TP + FP + TN + FN)，Precision = TP / (TP + FP)，Recall = TP / (TP + FN)。赛题加权公式为 0.4 × Accuracy + 0.3 × Precision + 0.3 × Recall。</w:t>
      </w:r>
    </w:p>
    <w:p>
      <w:r>
        <w:t>official_qa 是对答疑文字的可复现本地实现，不是主办方评分器。错值、空槽、完整记录与实体匹配的边界见 docs/EVALUATION.md。特别是完整记录加权分不能解释成全部七字段完全正确的占比；包号指标则要求整条公告的包号集合完全一致。</w:t>
      </w:r>
    </w:p>
    <w:p>
      <w:r>
        <w:t>同一批预测在模型路线的本地字段和记录指标上较高，规则路线在包号集合对齐上较高。模型带来的字段覆盖并未自动解决包号映射。因此系统保留三条路线配置和证据保护，不用单一分数代替业务选择。</w:t>
      </w:r>
    </w:p>
    <w:p>
      <w:r>
        <w:t>Gold v2 已于 2026-10-10 对旧预测做 local_proxy 离线重评分：rules 字段/记录加权分 55.13%/12.30%，hybrid 51.71%/9.32%，model 55.89%/7.92%。这是一组不同 Gold 版本、不同指标 profile 的结果，不能与上表作直接升降比较，也不代表修复后重新抽取的分数。</w:t>
      </w:r>
    </w:p>
    <w:p>
      <w:r>
        <w:br w:type="page"/>
      </w:r>
    </w:p>
    <w:p>
      <w:pPr>
        <w:pStyle w:val="Heading1"/>
      </w:pPr>
      <w:r>
        <w:t>4 关键工程改进与证据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969"/>
        <w:gridCol w:w="3628"/>
      </w:tblGrid>
      <w:tr>
        <w:trPr>
          <w:cantSplit/>
          <w:tblHeader/>
        </w:trPr>
        <w:tc>
          <w:tcPr>
            <w:tcW w:type="dxa" w:w="2041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改进</w:t>
            </w:r>
          </w:p>
        </w:tc>
        <w:tc>
          <w:tcPr>
            <w:tcW w:type="dxa" w:w="3969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已观察证据</w:t>
            </w:r>
          </w:p>
        </w:tc>
        <w:tc>
          <w:tcPr>
            <w:tcW w:type="dxa" w:w="3628"/>
            <w:shd w:fill="EAF0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183B56"/>
                <w:sz w:val="18"/>
              </w:rPr>
              <w:t>适用范围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历史附件用途过滤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两份历史附件缓存候选由 5、9 条降为 0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定向样例；不是全量收益</w:t>
            </w:r>
          </w:p>
        </w:tc>
      </w:tr>
      <w:tr>
        <w:trPr>
          <w:cantSplit/>
        </w:trPr>
        <w:tc>
          <w:tcPr>
            <w:tcW w:type="dxa" w:w="204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PDF 页标记处理</w:t>
            </w:r>
          </w:p>
        </w:tc>
        <w:tc>
          <w:tcPr>
            <w:tcW w:type="dxa" w:w="3969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完整 PDF 的 9 条历史候选证据可定位，过滤后为 0</w:t>
            </w:r>
          </w:p>
        </w:tc>
        <w:tc>
          <w:tcPr>
            <w:tcW w:type="dxa" w:w="362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仅该 PDF 的本地回归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跨文件候选融合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原始模型缓存候选 332→309，包数 59→59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缓存候选离线诊断，不是生产预测成绩</w:t>
            </w:r>
          </w:p>
        </w:tc>
      </w:tr>
      <w:tr>
        <w:trPr>
          <w:cantSplit/>
        </w:trPr>
        <w:tc>
          <w:tcPr>
            <w:tcW w:type="dxa" w:w="2041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cache-only 回放</w:t>
            </w:r>
          </w:p>
        </w:tc>
        <w:tc>
          <w:tcPr>
            <w:tcW w:type="dxa" w:w="3969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14/24 可回放；hybrid 153→146、model 149→139</w:t>
            </w:r>
          </w:p>
        </w:tc>
        <w:tc>
          <w:tcPr>
            <w:tcW w:type="dxa" w:w="3628"/>
            <w:shd w:fill="F7F9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10 条缺 parse cache 隔离；新模型请求为 0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有界并发与恢复</w:t>
            </w:r>
          </w:p>
        </w:tc>
        <w:tc>
          <w:tcPr>
            <w:tcW w:type="dxa" w:w="396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文档、请求、队列分别设限；暂停续跑、幂等入库</w:t>
            </w:r>
          </w:p>
        </w:tc>
        <w:tc>
          <w:tcPr>
            <w:tcW w:type="dxa" w:w="362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单机服务；实际吞吐受材料和服务商配额影响</w:t>
            </w:r>
          </w:p>
        </w:tc>
      </w:tr>
    </w:tbl>
    <w:p>
      <w:pPr>
        <w:spacing w:after="20"/>
      </w:pPr>
    </w:p>
    <w:p>
      <w:r>
        <w:t>上述诊断针对不同输入和阶段，不能叠加成一个收益数字。旧预测、Gold、缓存和报告保留；修复效果由专项回归证明，不回写历史成绩。</w:t>
      </w:r>
    </w:p>
    <w:p>
      <w:pPr>
        <w:pStyle w:val="Heading1"/>
      </w:pPr>
      <w:r>
        <w:t>5 复现与效率口径</w:t>
      </w:r>
    </w:p>
    <w:p>
      <w:r>
        <w:t>运行比较时固定输入清单、Gold 版本、代码与提示词哈希、模型配置、OCR 配置、并发度、缓存状态和 metric profile。评测器保留逐公告进度、请求数、耗时、token、失败与尝试历史，提供有界并发和显式续跑。运行步骤见 docs/benchmarks/route-evaluation-runbook.md。</w:t>
      </w:r>
    </w:p>
    <w:p>
      <w:r>
        <w:t>赛题处理速率定义为全部公告解析与实体抽取总耗时（含附件）除以公告总篇数，计时从数据集导入完成至结果全部写入数据库。查询效率定义为五个场景各执行一次，从前端发起操作到结果完全渲染的平均时长。局部解析耗时、服务端 API 耗时和含缓存回放应分别报告，不能代替该端到端定义。</w:t>
      </w:r>
    </w:p>
    <w:p>
      <w:pPr>
        <w:pStyle w:val="Heading1"/>
      </w:pPr>
      <w:r>
        <w:t>6 来源与结果标识</w:t>
      </w:r>
    </w:p>
    <w:p>
      <w:r>
        <w:t>路线表来自本地保存的 evaluation-routes-qwen-20261009/gap-route-report.json，profile 为 official_qa。Gold v1 哈希前缀为 8c1c98e3a5ec，manifest 哈希前缀为 a2ccf64b6750；完整哈希和配置保留在本地报告。旧文件中的 final/holdout 历史标签不改变该集合现为开发回归材料的事实。</w:t>
      </w:r>
    </w:p>
    <w:p>
      <w:r>
        <w:t>Gold v2 与 cache-only 结果见 docs/archive/reports/agent-gap-priority1-cache-only-replay-report.md；用途、PDF 和融合证据见对应专项报告。项目不将团队自评结果表述为官方准确率或比赛成绩。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184"/>
        <w:sz w:val="16"/>
      </w:rPr>
      <w:t xml:space="preserve">招采数据智能分析引擎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eastAsia="Microsoft YaHei"/>
      <w:b w:val="0"/>
      <w:i w:val="0"/>
      <w:color w:val="222222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183B56"/>
      <w:sz w:val="29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183B56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40"/>
    </w:pPr>
    <w:rPr>
      <w:rFonts w:asciiTheme="majorHAnsi" w:eastAsiaTheme="majorEastAsia" w:hAnsiTheme="majorHAnsi" w:cstheme="majorBidi" w:ascii="Aptos" w:hAnsi="Aptos" w:eastAsia="Microsoft YaHei"/>
      <w:b w:val="0"/>
      <w:i w:val="0"/>
      <w:iCs/>
      <w:color w:val="657184"/>
      <w:spacing w:val="15"/>
      <w:sz w:val="19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招采数据实体抽取技术路线对比报告</dc:title>
  <dc:subject>初赛作品交付文档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