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397D" w14:textId="4BE7A717" w:rsidR="00381678" w:rsidRPr="00FB686A" w:rsidRDefault="00704437">
      <w:pPr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</w:pPr>
      <w:r w:rsidRPr="00FB686A"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  <w:t xml:space="preserve">Problem </w:t>
      </w:r>
      <w:r w:rsidR="00FB686A" w:rsidRPr="00FB686A"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  <w:t>description and business understanding</w:t>
      </w:r>
    </w:p>
    <w:p w14:paraId="07541B81" w14:textId="16E8EDF3" w:rsidR="00476208" w:rsidRDefault="00E77FB2">
      <w:r>
        <w:t xml:space="preserve">When patients are prescribed treatment by a health care official, it is expected that the patient adheres to the prescribed treatment </w:t>
      </w:r>
      <w:r w:rsidR="00476208">
        <w:t>regimen</w:t>
      </w:r>
      <w:r>
        <w:t>. Medication persistence refers to the act of continuing the treatment for the prescribed duration. It may be defined as the duration of time from initiation to discontinuation of therapy</w:t>
      </w:r>
      <w:r w:rsidR="00476208">
        <w:t xml:space="preserve"> </w:t>
      </w:r>
      <w:r>
        <w:t>[</w:t>
      </w:r>
      <w:r w:rsidR="00476208">
        <w:t>1</w:t>
      </w:r>
      <w:r>
        <w:t>].</w:t>
      </w:r>
      <w:r w:rsidR="00476208">
        <w:t xml:space="preserve"> In adequate medication persistence is an age old problem which can have situation-specific alterations in benefit/risk ratios, either because of reduced benefits, increased risks, or both [1].</w:t>
      </w:r>
    </w:p>
    <w:p w14:paraId="00FD4179" w14:textId="268D163D" w:rsidR="00A81510" w:rsidRDefault="00A81510">
      <w:r>
        <w:t>Though not of interest in this particular case it should be known that</w:t>
      </w:r>
      <w:r w:rsidR="0099676F">
        <w:t xml:space="preserve"> Medical compliance is also a problem. Medication compliance (also known as adherence) refers to the degree or extent of conformity to the recommendations about day-to-day treatment by the provider with respect to the timing, dosage, and frequency. It is described as the extent to which a patient acts in accordance with the prescribed interval, and dose of a dosing regimen [1].</w:t>
      </w:r>
    </w:p>
    <w:p w14:paraId="0A712522" w14:textId="7AA825A9" w:rsidR="0099676F" w:rsidRDefault="0099676F">
      <w:r>
        <w:t>Studies have shown that inadequate compliance and non-persistence with prescribed medication regimens result in increased morbidity and mortality from a wide variety of illnesses, as well as increased health-care costs in particular cases [2,3]</w:t>
      </w:r>
      <w:r w:rsidR="0046483C">
        <w:t>. Clinical outcomes of treatment depend not only by how well patients take their medications but also by how long they take their medications.</w:t>
      </w:r>
    </w:p>
    <w:p w14:paraId="456AE3A1" w14:textId="77777777" w:rsidR="00E97A96" w:rsidRDefault="0046483C">
      <w:pPr>
        <w:rPr>
          <w:rFonts w:cstheme="minorHAnsi"/>
          <w:color w:val="212121"/>
          <w:shd w:val="clear" w:color="auto" w:fill="FFFFFF"/>
        </w:rPr>
      </w:pPr>
      <w:r>
        <w:t xml:space="preserve">There are many factors which affect a patients persistence such as </w:t>
      </w:r>
      <w:r w:rsidRPr="0046483C">
        <w:rPr>
          <w:rFonts w:cstheme="minorHAnsi"/>
          <w:color w:val="212121"/>
          <w:shd w:val="clear" w:color="auto" w:fill="FFFFFF"/>
        </w:rPr>
        <w:t>choice of agent prescribed, comorbidity, and socioeconomic status, despite universal coverage of prescription drug costs</w:t>
      </w:r>
      <w:r>
        <w:rPr>
          <w:rFonts w:cstheme="minorHAnsi"/>
          <w:color w:val="212121"/>
          <w:shd w:val="clear" w:color="auto" w:fill="FFFFFF"/>
        </w:rPr>
        <w:t xml:space="preserve"> [3]. It is important for the sake of improving clinical outcomes to be able to know which patients will less likely to stick with the medication persistence requirements and which ones will not. </w:t>
      </w:r>
    </w:p>
    <w:p w14:paraId="2F5BD98A" w14:textId="1866E294" w:rsidR="00E41A94" w:rsidRDefault="0046483C" w:rsidP="00E97A96">
      <w:pPr>
        <w:rPr>
          <w:rFonts w:eastAsia="Times New Roman" w:cstheme="minorHAnsi"/>
          <w:color w:val="000000"/>
          <w:lang w:eastAsia="en-ZA"/>
        </w:rPr>
      </w:pPr>
      <w:r>
        <w:rPr>
          <w:rFonts w:cstheme="minorHAnsi"/>
          <w:color w:val="212121"/>
          <w:shd w:val="clear" w:color="auto" w:fill="FFFFFF"/>
        </w:rPr>
        <w:t>Machine learning algorithms are particularly useful for such problems</w:t>
      </w:r>
      <w:r w:rsidR="00E41A94">
        <w:rPr>
          <w:rFonts w:cstheme="minorHAnsi"/>
          <w:color w:val="212121"/>
          <w:shd w:val="clear" w:color="auto" w:fill="FFFFFF"/>
        </w:rPr>
        <w:t xml:space="preserve"> </w:t>
      </w:r>
      <w:r w:rsidR="00E507D6">
        <w:rPr>
          <w:rFonts w:cstheme="minorHAnsi"/>
          <w:color w:val="212121"/>
          <w:shd w:val="clear" w:color="auto" w:fill="FFFFFF"/>
        </w:rPr>
        <w:t>[</w:t>
      </w:r>
      <w:r w:rsidR="00FB686A">
        <w:rPr>
          <w:rFonts w:cstheme="minorHAnsi"/>
          <w:color w:val="212121"/>
          <w:shd w:val="clear" w:color="auto" w:fill="FFFFFF"/>
        </w:rPr>
        <w:t>4</w:t>
      </w:r>
      <w:r w:rsidR="00E507D6">
        <w:rPr>
          <w:rFonts w:cstheme="minorHAnsi"/>
          <w:color w:val="212121"/>
          <w:shd w:val="clear" w:color="auto" w:fill="FFFFFF"/>
        </w:rPr>
        <w:t>]</w:t>
      </w:r>
      <w:r>
        <w:rPr>
          <w:rFonts w:cstheme="minorHAnsi"/>
          <w:color w:val="212121"/>
          <w:shd w:val="clear" w:color="auto" w:fill="FFFFFF"/>
        </w:rPr>
        <w:t>.</w:t>
      </w:r>
      <w:r w:rsidR="00E97A96">
        <w:rPr>
          <w:rFonts w:cstheme="minorHAnsi"/>
          <w:color w:val="212121"/>
          <w:shd w:val="clear" w:color="auto" w:fill="FFFFFF"/>
        </w:rPr>
        <w:t xml:space="preserve"> </w:t>
      </w:r>
      <w:r w:rsidR="00E41A94">
        <w:rPr>
          <w:rFonts w:eastAsia="Times New Roman" w:cstheme="minorHAnsi"/>
          <w:color w:val="000000"/>
          <w:lang w:eastAsia="en-ZA"/>
        </w:rPr>
        <w:t xml:space="preserve">Our </w:t>
      </w:r>
      <w:r w:rsidR="00E41A94" w:rsidRPr="00E41A94">
        <w:rPr>
          <w:rFonts w:eastAsia="Times New Roman" w:cstheme="minorHAnsi"/>
          <w:color w:val="000000"/>
          <w:lang w:eastAsia="en-ZA"/>
        </w:rPr>
        <w:t>o</w:t>
      </w:r>
      <w:r w:rsidR="00E41A94">
        <w:rPr>
          <w:rFonts w:eastAsia="Times New Roman" w:cstheme="minorHAnsi"/>
          <w:color w:val="000000"/>
          <w:lang w:eastAsia="en-ZA"/>
        </w:rPr>
        <w:t>bjective is to</w:t>
      </w:r>
      <w:r w:rsidR="00E41A94" w:rsidRPr="00E41A94">
        <w:rPr>
          <w:rFonts w:eastAsia="Times New Roman" w:cstheme="minorHAnsi"/>
          <w:color w:val="000000"/>
          <w:lang w:eastAsia="en-ZA"/>
        </w:rPr>
        <w:t xml:space="preserve"> apply machine learning to </w:t>
      </w:r>
      <w:r w:rsidR="00E41A94">
        <w:rPr>
          <w:rFonts w:eastAsia="Times New Roman" w:cstheme="minorHAnsi"/>
          <w:color w:val="000000"/>
          <w:lang w:eastAsia="en-ZA"/>
        </w:rPr>
        <w:t xml:space="preserve">predict patient </w:t>
      </w:r>
      <w:r w:rsidR="00E97A96">
        <w:rPr>
          <w:rFonts w:eastAsia="Times New Roman" w:cstheme="minorHAnsi"/>
          <w:color w:val="000000"/>
          <w:lang w:eastAsia="en-ZA"/>
        </w:rPr>
        <w:t>medical persistence with the aim of using this information to identify patients who are least likely to adhere to medical persistence</w:t>
      </w:r>
      <w:r w:rsidR="00FB686A">
        <w:rPr>
          <w:rFonts w:eastAsia="Times New Roman" w:cstheme="minorHAnsi"/>
          <w:color w:val="000000"/>
          <w:lang w:eastAsia="en-ZA"/>
        </w:rPr>
        <w:t xml:space="preserve"> [4]</w:t>
      </w:r>
      <w:r w:rsidR="00E41A94" w:rsidRPr="00E41A94">
        <w:rPr>
          <w:rFonts w:eastAsia="Times New Roman" w:cstheme="minorHAnsi"/>
          <w:color w:val="000000"/>
          <w:lang w:eastAsia="en-ZA"/>
        </w:rPr>
        <w:t>.</w:t>
      </w:r>
      <w:r w:rsidR="00E97A96">
        <w:rPr>
          <w:rFonts w:eastAsia="Times New Roman" w:cstheme="minorHAnsi"/>
          <w:color w:val="000000"/>
          <w:lang w:eastAsia="en-ZA"/>
        </w:rPr>
        <w:t xml:space="preserve"> This information may be useful in helping patients.</w:t>
      </w:r>
    </w:p>
    <w:p w14:paraId="2CD60F60" w14:textId="6E23FEFD" w:rsidR="00E507D6" w:rsidRDefault="00E12505" w:rsidP="00E97A96">
      <w:pPr>
        <w:rPr>
          <w:rFonts w:cstheme="minorHAnsi"/>
          <w:color w:val="333333"/>
          <w:shd w:val="clear" w:color="auto" w:fill="FFFFFF"/>
        </w:rPr>
      </w:pPr>
      <w:r w:rsidRPr="00E12505">
        <w:rPr>
          <w:rFonts w:cstheme="minorHAnsi"/>
          <w:color w:val="202124"/>
          <w:spacing w:val="4"/>
          <w:shd w:val="clear" w:color="auto" w:fill="FFFFFF"/>
        </w:rPr>
        <w:t xml:space="preserve">Nontuberculous mycobacterial (NTM) lung disease is a general term </w:t>
      </w:r>
      <w:r>
        <w:rPr>
          <w:rFonts w:cstheme="minorHAnsi"/>
          <w:color w:val="202124"/>
          <w:spacing w:val="4"/>
          <w:shd w:val="clear" w:color="auto" w:fill="FFFFFF"/>
        </w:rPr>
        <w:t xml:space="preserve">which refers to </w:t>
      </w:r>
      <w:r w:rsidRPr="00E12505">
        <w:rPr>
          <w:rFonts w:cstheme="minorHAnsi"/>
          <w:color w:val="202124"/>
          <w:spacing w:val="4"/>
          <w:shd w:val="clear" w:color="auto" w:fill="FFFFFF"/>
        </w:rPr>
        <w:t>a group of disorders characterized by exposure to specific bacterial germs known as mycobacteria</w:t>
      </w:r>
      <w:r w:rsidR="00E507D6">
        <w:rPr>
          <w:rFonts w:cstheme="minorHAnsi"/>
          <w:color w:val="202124"/>
          <w:spacing w:val="4"/>
          <w:shd w:val="clear" w:color="auto" w:fill="FFFFFF"/>
        </w:rPr>
        <w:t xml:space="preserve"> [5]</w:t>
      </w:r>
      <w:r w:rsidRPr="00E12505">
        <w:rPr>
          <w:rFonts w:cstheme="minorHAnsi"/>
          <w:color w:val="202124"/>
          <w:spacing w:val="4"/>
          <w:shd w:val="clear" w:color="auto" w:fill="FFFFFF"/>
        </w:rPr>
        <w:t>. These germs are found in the water and soil and are common throughout the environment as a whole. They usually do not cause illness</w:t>
      </w:r>
      <w:r>
        <w:rPr>
          <w:rFonts w:cstheme="minorHAnsi"/>
          <w:color w:val="202124"/>
          <w:spacing w:val="4"/>
          <w:shd w:val="clear" w:color="auto" w:fill="FFFFFF"/>
        </w:rPr>
        <w:t xml:space="preserve">. </w:t>
      </w:r>
      <w:r w:rsidRPr="00E12505">
        <w:rPr>
          <w:rFonts w:cstheme="minorHAnsi"/>
          <w:color w:val="202124"/>
          <w:spacing w:val="4"/>
          <w:shd w:val="clear" w:color="auto" w:fill="FFFFFF"/>
        </w:rPr>
        <w:t>I</w:t>
      </w:r>
      <w:r w:rsidRPr="00E12505">
        <w:rPr>
          <w:rFonts w:cstheme="minorHAnsi"/>
          <w:color w:val="333333"/>
          <w:shd w:val="clear" w:color="auto" w:fill="FFFFFF"/>
        </w:rPr>
        <w:t>n NTM disorders, severity of infection and the disease course can vary greatly from one person to another. The most common symptoms include a persistent cough, fatigue, weight loss, night sweats, and occasionally shortness of breath (</w:t>
      </w:r>
      <w:proofErr w:type="spellStart"/>
      <w:r w:rsidRPr="00E12505">
        <w:rPr>
          <w:rFonts w:cstheme="minorHAnsi"/>
          <w:color w:val="333333"/>
          <w:shd w:val="clear" w:color="auto" w:fill="FFFFFF"/>
        </w:rPr>
        <w:t>dyspnea</w:t>
      </w:r>
      <w:proofErr w:type="spellEnd"/>
      <w:r w:rsidRPr="00E12505">
        <w:rPr>
          <w:rFonts w:cstheme="minorHAnsi"/>
          <w:color w:val="333333"/>
          <w:shd w:val="clear" w:color="auto" w:fill="FFFFFF"/>
        </w:rPr>
        <w:t>) and coughing up of blood (</w:t>
      </w:r>
      <w:proofErr w:type="spellStart"/>
      <w:r w:rsidRPr="00E12505">
        <w:rPr>
          <w:rFonts w:cstheme="minorHAnsi"/>
          <w:color w:val="333333"/>
          <w:shd w:val="clear" w:color="auto" w:fill="FFFFFF"/>
        </w:rPr>
        <w:t>hemoptysis</w:t>
      </w:r>
      <w:proofErr w:type="spellEnd"/>
      <w:r w:rsidRPr="00E12505">
        <w:rPr>
          <w:rFonts w:cstheme="minorHAnsi"/>
          <w:color w:val="333333"/>
          <w:shd w:val="clear" w:color="auto" w:fill="FFFFFF"/>
        </w:rPr>
        <w:t>)</w:t>
      </w:r>
      <w:r w:rsidR="00E507D6">
        <w:rPr>
          <w:rFonts w:cstheme="minorHAnsi"/>
          <w:color w:val="333333"/>
          <w:shd w:val="clear" w:color="auto" w:fill="FFFFFF"/>
        </w:rPr>
        <w:t xml:space="preserve"> [5]</w:t>
      </w:r>
      <w:r w:rsidRPr="00E12505">
        <w:rPr>
          <w:rFonts w:cstheme="minorHAnsi"/>
          <w:color w:val="333333"/>
          <w:shd w:val="clear" w:color="auto" w:fill="FFFFFF"/>
        </w:rPr>
        <w:t>.</w:t>
      </w:r>
    </w:p>
    <w:p w14:paraId="0AB7F600" w14:textId="70BB899C" w:rsidR="00E507D6" w:rsidRPr="00E41A94" w:rsidRDefault="00E507D6" w:rsidP="00E97A9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We will examine a dataset of patients who </w:t>
      </w:r>
      <w:r w:rsidR="00FB686A">
        <w:rPr>
          <w:rFonts w:cstheme="minorHAnsi"/>
          <w:color w:val="333333"/>
          <w:shd w:val="clear" w:color="auto" w:fill="FFFFFF"/>
        </w:rPr>
        <w:t>have NTM. There is a wide range of features which we will use to predict  medical persistence in patients. These include but are not limited to patient demographics, provider attributes, clinical factors and disease factors.</w:t>
      </w:r>
    </w:p>
    <w:p w14:paraId="1C5A5218" w14:textId="77777777" w:rsidR="00E41A94" w:rsidRDefault="00E41A94"/>
    <w:p w14:paraId="351041A7" w14:textId="63F58111" w:rsidR="00E77FB2" w:rsidRDefault="00E77FB2">
      <w:r>
        <w:t>[</w:t>
      </w:r>
      <w:r w:rsidR="00476208">
        <w:t>1</w:t>
      </w:r>
      <w:r>
        <w:t xml:space="preserve">] J. Cramer, A. Roy, A. Burrell, C. Fairchild,  M. </w:t>
      </w:r>
      <w:proofErr w:type="spellStart"/>
      <w:r>
        <w:t>Fuldeore</w:t>
      </w:r>
      <w:proofErr w:type="spellEnd"/>
      <w:r>
        <w:t xml:space="preserve">, D. </w:t>
      </w:r>
      <w:proofErr w:type="spellStart"/>
      <w:r>
        <w:t>Ollendorf</w:t>
      </w:r>
      <w:proofErr w:type="spellEnd"/>
      <w:r w:rsidR="00476208">
        <w:t xml:space="preserve"> and</w:t>
      </w:r>
      <w:r>
        <w:t xml:space="preserve"> </w:t>
      </w:r>
      <w:r w:rsidR="00476208">
        <w:t xml:space="preserve">P. Wong, </w:t>
      </w:r>
      <w:r>
        <w:t>Medication compliance and persistence: Terminology and definitions</w:t>
      </w:r>
      <w:r w:rsidR="00476208">
        <w:t xml:space="preserve">, </w:t>
      </w:r>
      <w:r w:rsidR="00476208" w:rsidRPr="00476208">
        <w:rPr>
          <w:i/>
          <w:iCs/>
        </w:rPr>
        <w:t>Value in health</w:t>
      </w:r>
      <w:r w:rsidR="00476208" w:rsidRPr="00476208">
        <w:t>,</w:t>
      </w:r>
      <w:r w:rsidR="00476208">
        <w:t xml:space="preserve"> 2, 1(2008).</w:t>
      </w:r>
    </w:p>
    <w:p w14:paraId="3E791681" w14:textId="4287ABB5" w:rsidR="00476208" w:rsidRDefault="00476208">
      <w:r>
        <w:t xml:space="preserve">[2] M. </w:t>
      </w:r>
      <w:proofErr w:type="spellStart"/>
      <w:r>
        <w:t>DiMatteo</w:t>
      </w:r>
      <w:proofErr w:type="spellEnd"/>
      <w:r>
        <w:t xml:space="preserve">, P. </w:t>
      </w:r>
      <w:proofErr w:type="spellStart"/>
      <w:r>
        <w:t>Giordani</w:t>
      </w:r>
      <w:proofErr w:type="spellEnd"/>
      <w:r>
        <w:t xml:space="preserve">, H. Lepper and T. Croghan, Patient adherence and medical treatment outcomes: a meta-analysis, </w:t>
      </w:r>
      <w:r w:rsidRPr="00A81510">
        <w:rPr>
          <w:i/>
          <w:iCs/>
        </w:rPr>
        <w:t>Med Care</w:t>
      </w:r>
      <w:r>
        <w:t>, 40, 794–811 (2002).</w:t>
      </w:r>
    </w:p>
    <w:p w14:paraId="69D30EB3" w14:textId="743E463E" w:rsidR="00A81510" w:rsidRDefault="00A81510">
      <w:r>
        <w:t>[3]</w:t>
      </w:r>
      <w:r w:rsidRPr="00A81510">
        <w:t xml:space="preserve"> </w:t>
      </w:r>
      <w:r>
        <w:t xml:space="preserve"> J. </w:t>
      </w:r>
      <w:proofErr w:type="spellStart"/>
      <w:r>
        <w:t>Avorn</w:t>
      </w:r>
      <w:proofErr w:type="spellEnd"/>
      <w:r>
        <w:t xml:space="preserve"> , J. Monette, A. </w:t>
      </w:r>
      <w:proofErr w:type="spellStart"/>
      <w:r>
        <w:t>Lacour</w:t>
      </w:r>
      <w:proofErr w:type="spellEnd"/>
      <w:r>
        <w:t xml:space="preserve"> A, R. Bohn, M. </w:t>
      </w:r>
      <w:proofErr w:type="spellStart"/>
      <w:r>
        <w:t>Monane</w:t>
      </w:r>
      <w:proofErr w:type="spellEnd"/>
      <w:r>
        <w:t xml:space="preserve">, H. </w:t>
      </w:r>
      <w:proofErr w:type="spellStart"/>
      <w:r>
        <w:t>Mogun</w:t>
      </w:r>
      <w:proofErr w:type="spellEnd"/>
      <w:r>
        <w:t xml:space="preserve"> and J. </w:t>
      </w:r>
      <w:proofErr w:type="spellStart"/>
      <w:r>
        <w:t>lolerier</w:t>
      </w:r>
      <w:proofErr w:type="spellEnd"/>
      <w:r>
        <w:t xml:space="preserve">, Persistence of use of lipid-lowering medications: cross-national study, </w:t>
      </w:r>
      <w:r w:rsidRPr="00A81510">
        <w:rPr>
          <w:i/>
          <w:iCs/>
        </w:rPr>
        <w:t>JAMA</w:t>
      </w:r>
      <w:r>
        <w:t>, 279, 1458–62 (1998).</w:t>
      </w:r>
    </w:p>
    <w:p w14:paraId="14199D9B" w14:textId="434C92CA" w:rsidR="00E507D6" w:rsidRDefault="00E507D6">
      <w:pPr>
        <w:rPr>
          <w:rFonts w:cstheme="minorHAnsi"/>
          <w:color w:val="333333"/>
          <w:shd w:val="clear" w:color="auto" w:fill="FFFFFF"/>
        </w:rPr>
      </w:pPr>
      <w:r>
        <w:lastRenderedPageBreak/>
        <w:t xml:space="preserve">[4] X. </w:t>
      </w:r>
      <w:proofErr w:type="spellStart"/>
      <w:r>
        <w:t>Wu,H</w:t>
      </w:r>
      <w:proofErr w:type="spellEnd"/>
      <w:r>
        <w:t xml:space="preserve">. Yang, R. </w:t>
      </w:r>
      <w:proofErr w:type="spellStart"/>
      <w:r>
        <w:t>Yaun</w:t>
      </w:r>
      <w:proofErr w:type="spellEnd"/>
      <w:r>
        <w:t xml:space="preserve">, E. Long and R. Tong, </w:t>
      </w:r>
      <w:r w:rsidRPr="00E507D6">
        <w:rPr>
          <w:rFonts w:cstheme="minorHAnsi"/>
          <w:color w:val="333333"/>
          <w:shd w:val="clear" w:color="auto" w:fill="FFFFFF"/>
        </w:rPr>
        <w:t>Predictive models of medication non-adherence risks of patients with T2D based on multiple machine learning algorithms</w:t>
      </w:r>
      <w:r>
        <w:rPr>
          <w:rFonts w:cstheme="minorHAnsi"/>
          <w:color w:val="333333"/>
          <w:shd w:val="clear" w:color="auto" w:fill="FFFFFF"/>
        </w:rPr>
        <w:t>, BJM Open Diabetes and Care, 8, 1 (2020).</w:t>
      </w:r>
    </w:p>
    <w:p w14:paraId="6BA83881" w14:textId="27EF7DFE" w:rsidR="00E507D6" w:rsidRDefault="00E507D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[5] </w:t>
      </w:r>
      <w:hyperlink r:id="rId6" w:history="1">
        <w:r w:rsidR="00FB686A" w:rsidRPr="008B062E">
          <w:rPr>
            <w:rStyle w:val="Hyperlink"/>
            <w:rFonts w:cstheme="minorHAnsi"/>
            <w:shd w:val="clear" w:color="auto" w:fill="FFFFFF"/>
          </w:rPr>
          <w:t>https://rarediseases.org/rare-diseases/nontuberculous-mycobacterial-lung-disease/</w:t>
        </w:r>
      </w:hyperlink>
    </w:p>
    <w:p w14:paraId="61811768" w14:textId="74E6D818" w:rsidR="00FB686A" w:rsidRDefault="00FB686A">
      <w:pPr>
        <w:rPr>
          <w:rFonts w:cstheme="minorHAnsi"/>
          <w:color w:val="333333"/>
          <w:shd w:val="clear" w:color="auto" w:fill="FFFFFF"/>
        </w:rPr>
      </w:pPr>
    </w:p>
    <w:p w14:paraId="44F225E5" w14:textId="18A48D46" w:rsidR="003E6321" w:rsidRPr="003E6321" w:rsidRDefault="003E6321" w:rsidP="003E6321">
      <w:pPr>
        <w:rPr>
          <w:rFonts w:ascii="Helvetica" w:hAnsi="Helvetica"/>
          <w:b/>
          <w:bCs/>
          <w:u w:val="single"/>
          <w:shd w:val="clear" w:color="auto" w:fill="FFFFFF"/>
        </w:rPr>
      </w:pPr>
      <w:r w:rsidRPr="003E6321">
        <w:rPr>
          <w:rFonts w:ascii="Helvetica" w:hAnsi="Helvetica"/>
          <w:b/>
          <w:bCs/>
          <w:u w:val="single"/>
          <w:shd w:val="clear" w:color="auto" w:fill="FFFFFF"/>
        </w:rPr>
        <w:t xml:space="preserve">Project lifecycle </w:t>
      </w:r>
    </w:p>
    <w:p w14:paraId="56FD0D40" w14:textId="77777777" w:rsidR="003E6321" w:rsidRDefault="003E6321">
      <w:pPr>
        <w:rPr>
          <w:rFonts w:cstheme="minorHAnsi"/>
          <w:color w:val="333333"/>
          <w:shd w:val="clear" w:color="auto" w:fill="FFFFFF"/>
        </w:rPr>
      </w:pPr>
    </w:p>
    <w:p w14:paraId="4E97C371" w14:textId="754580F4" w:rsidR="003E6321" w:rsidRDefault="003E6321" w:rsidP="003E6321">
      <w:pPr>
        <w:jc w:val="center"/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671193D" wp14:editId="5C8C0E6F">
            <wp:extent cx="4070350" cy="3677605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l="24042" t="19515" r="29426" b="5742"/>
                    <a:stretch/>
                  </pic:blipFill>
                  <pic:spPr bwMode="auto">
                    <a:xfrm>
                      <a:off x="0" y="0"/>
                      <a:ext cx="4097232" cy="37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3A8AF" w14:textId="306B0CA7" w:rsidR="003E6321" w:rsidRDefault="003E6321">
      <w:pPr>
        <w:rPr>
          <w:rFonts w:cstheme="minorHAnsi"/>
          <w:color w:val="333333"/>
          <w:shd w:val="clear" w:color="auto" w:fill="FFFFFF"/>
        </w:rPr>
      </w:pPr>
    </w:p>
    <w:p w14:paraId="634A7682" w14:textId="549AF847" w:rsidR="00FB686A" w:rsidRDefault="00FB686A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  <w:r w:rsidRPr="00FB686A">
        <w:rPr>
          <w:rFonts w:ascii="Helvetica" w:hAnsi="Helvetica"/>
          <w:b/>
          <w:bCs/>
          <w:color w:val="4A5950"/>
          <w:u w:val="single"/>
          <w:shd w:val="clear" w:color="auto" w:fill="FFFFFF"/>
        </w:rPr>
        <w:t>Project lifecycle along with deadline</w:t>
      </w:r>
    </w:p>
    <w:p w14:paraId="1A141325" w14:textId="4AEF0610" w:rsidR="00DF1F0B" w:rsidRDefault="00DF1F0B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Project description and lifecycle (-5/09/2021)</w:t>
      </w:r>
    </w:p>
    <w:p w14:paraId="58338B84" w14:textId="5289CBD4" w:rsidR="00DF1F0B" w:rsidRDefault="00DF1F0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437758EB" w14:textId="0C2DFBF5" w:rsidR="00DF1F0B" w:rsidRDefault="00DF1F0B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 w:rsidRPr="00DF1F0B">
        <w:rPr>
          <w:rFonts w:asciiTheme="minorHAnsi" w:hAnsiTheme="minorHAnsi" w:cstheme="minorHAnsi"/>
          <w:color w:val="222222"/>
          <w:sz w:val="22"/>
          <w:szCs w:val="22"/>
        </w:rPr>
        <w:t>Data cleaning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(06/09/2021-13/09/2021)</w:t>
      </w:r>
    </w:p>
    <w:p w14:paraId="4A16EC14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Data understanding</w:t>
      </w:r>
    </w:p>
    <w:p w14:paraId="6C6B8C1D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What type of data you have got for analysis</w:t>
      </w:r>
    </w:p>
    <w:p w14:paraId="74EB2500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What are the problems in the data ( number of NA values, outliers , skewed etc)</w:t>
      </w:r>
    </w:p>
    <w:p w14:paraId="7BF76390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What approaches you are trying to apply on your data set to overcome problems like NA value, outlier etc and why?</w:t>
      </w:r>
    </w:p>
    <w:p w14:paraId="4E5C707D" w14:textId="77777777" w:rsidR="00DF1F0B" w:rsidRDefault="00DF1F0B" w:rsidP="00DF1F0B">
      <w:pPr>
        <w:pStyle w:val="ListParagraph"/>
        <w:rPr>
          <w:rFonts w:cstheme="minorHAnsi"/>
          <w:color w:val="222222"/>
        </w:rPr>
      </w:pPr>
    </w:p>
    <w:p w14:paraId="1B851AD9" w14:textId="6D9423EB" w:rsidR="00DF1F0B" w:rsidRDefault="00DF1F0B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 w:rsidRPr="00DF1F0B">
        <w:rPr>
          <w:rFonts w:asciiTheme="minorHAnsi" w:hAnsiTheme="minorHAnsi" w:cstheme="minorHAnsi"/>
          <w:color w:val="222222"/>
          <w:sz w:val="22"/>
          <w:szCs w:val="22"/>
        </w:rPr>
        <w:t>Data cleaning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(1</w:t>
      </w:r>
      <w:r w:rsidR="00F245D6">
        <w:rPr>
          <w:rFonts w:asciiTheme="minorHAnsi" w:hAnsiTheme="minorHAnsi" w:cstheme="minorHAnsi"/>
          <w:color w:val="222222"/>
          <w:sz w:val="22"/>
          <w:szCs w:val="22"/>
        </w:rPr>
        <w:t>4</w:t>
      </w:r>
      <w:r>
        <w:rPr>
          <w:rFonts w:asciiTheme="minorHAnsi" w:hAnsiTheme="minorHAnsi" w:cstheme="minorHAnsi"/>
          <w:color w:val="222222"/>
          <w:sz w:val="22"/>
          <w:szCs w:val="22"/>
        </w:rPr>
        <w:t>/09/2021-</w:t>
      </w:r>
      <w:r w:rsidR="00F245D6">
        <w:rPr>
          <w:rFonts w:asciiTheme="minorHAnsi" w:hAnsiTheme="minorHAnsi" w:cstheme="minorHAnsi"/>
          <w:color w:val="222222"/>
          <w:sz w:val="22"/>
          <w:szCs w:val="22"/>
        </w:rPr>
        <w:t>19</w:t>
      </w:r>
      <w:r>
        <w:rPr>
          <w:rFonts w:asciiTheme="minorHAnsi" w:hAnsiTheme="minorHAnsi" w:cstheme="minorHAnsi"/>
          <w:color w:val="222222"/>
          <w:sz w:val="22"/>
          <w:szCs w:val="22"/>
        </w:rPr>
        <w:t>/09/2021)</w:t>
      </w:r>
    </w:p>
    <w:p w14:paraId="7C74EC38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lastRenderedPageBreak/>
        <w:t>Data cleansing and transformation done on the data.</w:t>
      </w:r>
    </w:p>
    <w:p w14:paraId="2C972292" w14:textId="6FF6FAE6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Try at least 2 techniques to clean the data ( for NA values : mean/median/mode/Model based approach to handle NA value/WOE and like this try different techniques to identify and handle outliers as well)</w:t>
      </w:r>
    </w:p>
    <w:p w14:paraId="30412625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Each team member should work on different data cleansing approach.</w:t>
      </w:r>
    </w:p>
    <w:p w14:paraId="4E611C6D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Style w:val="Strong"/>
          <w:rFonts w:asciiTheme="minorHAnsi" w:eastAsiaTheme="majorEastAsia" w:hAnsiTheme="minorHAnsi" w:cstheme="minorHAnsi"/>
          <w:color w:val="4A5950"/>
          <w:sz w:val="22"/>
          <w:szCs w:val="22"/>
        </w:rPr>
        <w:t>Note:</w:t>
      </w:r>
    </w:p>
    <w:p w14:paraId="7E8C6A45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If one team member is using mean to impute values then other member should experiment on segmented approach or any other model based approach to impute the null values.</w:t>
      </w:r>
    </w:p>
    <w:p w14:paraId="0E81C8E4" w14:textId="77777777" w:rsidR="00F245D6" w:rsidRDefault="00F245D6" w:rsidP="00F245D6">
      <w:pPr>
        <w:pStyle w:val="Heading3"/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</w:p>
    <w:p w14:paraId="77DC0298" w14:textId="3C64F0DF" w:rsidR="00DF1F0B" w:rsidRDefault="00F245D6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Exploratory data analysis on data (20/09/2021-26/09/2021)</w:t>
      </w:r>
    </w:p>
    <w:p w14:paraId="34B48DD3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EDA performed on the data</w:t>
      </w:r>
    </w:p>
    <w:p w14:paraId="0DB1B5D7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Final Recommendation</w:t>
      </w:r>
    </w:p>
    <w:p w14:paraId="2425C819" w14:textId="5A4373BC" w:rsidR="00F245D6" w:rsidRDefault="00F245D6" w:rsidP="00F245D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Exploratory data analysis on data (27/09/2021-3/10/2021)</w:t>
      </w:r>
    </w:p>
    <w:p w14:paraId="2A4E34F9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EDA presentation for business users</w:t>
      </w:r>
    </w:p>
    <w:p w14:paraId="15530C6D" w14:textId="17EEE611" w:rsid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Last slide of EDA should be dedicated to technical user which should contain recommended models for this data set.</w:t>
      </w:r>
    </w:p>
    <w:p w14:paraId="386B2576" w14:textId="204F0931" w:rsidR="00F245D6" w:rsidRDefault="00F245D6" w:rsidP="00F245D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Model Selection and model building (</w:t>
      </w:r>
      <w:r w:rsidR="00512185">
        <w:rPr>
          <w:rFonts w:asciiTheme="minorHAnsi" w:hAnsiTheme="minorHAnsi" w:cstheme="minorHAnsi"/>
          <w:color w:val="222222"/>
          <w:sz w:val="22"/>
          <w:szCs w:val="22"/>
        </w:rPr>
        <w:t>04</w:t>
      </w:r>
      <w:r>
        <w:rPr>
          <w:rFonts w:asciiTheme="minorHAnsi" w:hAnsiTheme="minorHAnsi" w:cstheme="minorHAnsi"/>
          <w:color w:val="222222"/>
          <w:sz w:val="22"/>
          <w:szCs w:val="22"/>
        </w:rPr>
        <w:t>/</w:t>
      </w:r>
      <w:r w:rsidR="00512185">
        <w:rPr>
          <w:rFonts w:asciiTheme="minorHAnsi" w:hAnsiTheme="minorHAnsi" w:cstheme="minorHAnsi"/>
          <w:color w:val="222222"/>
          <w:sz w:val="22"/>
          <w:szCs w:val="22"/>
        </w:rPr>
        <w:t>10</w:t>
      </w:r>
      <w:r>
        <w:rPr>
          <w:rFonts w:asciiTheme="minorHAnsi" w:hAnsiTheme="minorHAnsi" w:cstheme="minorHAnsi"/>
          <w:color w:val="222222"/>
          <w:sz w:val="22"/>
          <w:szCs w:val="22"/>
        </w:rPr>
        <w:t>/2021-</w:t>
      </w:r>
      <w:r w:rsidR="00512185">
        <w:rPr>
          <w:rFonts w:asciiTheme="minorHAnsi" w:hAnsiTheme="minorHAnsi" w:cstheme="minorHAnsi"/>
          <w:color w:val="222222"/>
          <w:sz w:val="22"/>
          <w:szCs w:val="22"/>
        </w:rPr>
        <w:t>11</w:t>
      </w:r>
      <w:r>
        <w:rPr>
          <w:rFonts w:asciiTheme="minorHAnsi" w:hAnsiTheme="minorHAnsi" w:cstheme="minorHAnsi"/>
          <w:color w:val="222222"/>
          <w:sz w:val="22"/>
          <w:szCs w:val="22"/>
        </w:rPr>
        <w:t>/10/2021)</w:t>
      </w:r>
    </w:p>
    <w:p w14:paraId="632EDCF0" w14:textId="3B137555" w:rsidR="00F245D6" w:rsidRPr="00F245D6" w:rsidRDefault="00F245D6" w:rsidP="00F245D6">
      <w:pPr>
        <w:pStyle w:val="Heading3"/>
        <w:shd w:val="clear" w:color="auto" w:fill="FFFFFF"/>
        <w:spacing w:before="0" w:beforeAutospacing="0" w:after="0" w:afterAutospacing="0"/>
        <w:ind w:left="720" w:right="75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F245D6">
        <w:rPr>
          <w:rFonts w:asciiTheme="minorHAnsi" w:hAnsiTheme="minorHAnsi" w:cstheme="minorHAnsi"/>
          <w:b w:val="0"/>
          <w:bCs w:val="0"/>
          <w:color w:val="4A5950"/>
          <w:sz w:val="22"/>
          <w:szCs w:val="22"/>
          <w:shd w:val="clear" w:color="auto" w:fill="FFFFFF"/>
        </w:rPr>
        <w:t xml:space="preserve">Select your base model and then explore 1 model of each family if its classification problem </w:t>
      </w:r>
      <w:proofErr w:type="spellStart"/>
      <w:r w:rsidRPr="00F245D6">
        <w:rPr>
          <w:rFonts w:asciiTheme="minorHAnsi" w:hAnsiTheme="minorHAnsi" w:cstheme="minorHAnsi"/>
          <w:b w:val="0"/>
          <w:bCs w:val="0"/>
          <w:color w:val="4A5950"/>
          <w:sz w:val="22"/>
          <w:szCs w:val="22"/>
          <w:shd w:val="clear" w:color="auto" w:fill="FFFFFF"/>
        </w:rPr>
        <w:t>then</w:t>
      </w:r>
      <w:proofErr w:type="spellEnd"/>
      <w:r w:rsidRPr="00F245D6">
        <w:rPr>
          <w:rFonts w:asciiTheme="minorHAnsi" w:hAnsiTheme="minorHAnsi" w:cstheme="minorHAnsi"/>
          <w:b w:val="0"/>
          <w:bCs w:val="0"/>
          <w:color w:val="4A5950"/>
          <w:sz w:val="22"/>
          <w:szCs w:val="22"/>
          <w:shd w:val="clear" w:color="auto" w:fill="FFFFFF"/>
        </w:rPr>
        <w:t xml:space="preserve"> 1 model for Linear models, 1- Model for Ensemble, 1-Model for boosting and other models if you have time (like stacking)</w:t>
      </w:r>
    </w:p>
    <w:p w14:paraId="2A66A029" w14:textId="5D8E6AC9" w:rsidR="00512185" w:rsidRDefault="00512185" w:rsidP="0051218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Final Project  (12/10/2021-15/10/2021)</w:t>
      </w:r>
    </w:p>
    <w:p w14:paraId="42FCE926" w14:textId="750DEB70" w:rsidR="00F245D6" w:rsidRPr="00512185" w:rsidRDefault="00512185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512185">
        <w:rPr>
          <w:rFonts w:asciiTheme="minorHAnsi" w:hAnsiTheme="minorHAnsi" w:cstheme="minorHAnsi"/>
          <w:color w:val="4A5950"/>
          <w:sz w:val="22"/>
          <w:szCs w:val="22"/>
          <w:shd w:val="clear" w:color="auto" w:fill="FFFFFF"/>
        </w:rPr>
        <w:t>Power point presentation is </w:t>
      </w:r>
      <w:r w:rsidRPr="00512185">
        <w:rPr>
          <w:rStyle w:val="Strong"/>
          <w:rFonts w:asciiTheme="minorHAnsi" w:hAnsiTheme="minorHAnsi" w:cstheme="minorHAnsi"/>
          <w:color w:val="4A5950"/>
          <w:sz w:val="22"/>
          <w:szCs w:val="22"/>
          <w:shd w:val="clear" w:color="auto" w:fill="FFFFFF"/>
        </w:rPr>
        <w:t>must</w:t>
      </w:r>
      <w:r w:rsidRPr="00512185">
        <w:rPr>
          <w:rFonts w:asciiTheme="minorHAnsi" w:hAnsiTheme="minorHAnsi" w:cstheme="minorHAnsi"/>
          <w:color w:val="4A5950"/>
          <w:sz w:val="22"/>
          <w:szCs w:val="22"/>
          <w:shd w:val="clear" w:color="auto" w:fill="FFFFFF"/>
        </w:rPr>
        <w:t>.</w:t>
      </w:r>
    </w:p>
    <w:p w14:paraId="5BB11DDE" w14:textId="77777777" w:rsid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</w:p>
    <w:p w14:paraId="096B95DD" w14:textId="7F60E9D7" w:rsid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</w:p>
    <w:p w14:paraId="43F7E3E7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</w:p>
    <w:p w14:paraId="0EECEF29" w14:textId="77777777" w:rsidR="00DF1F0B" w:rsidRPr="00DF1F0B" w:rsidRDefault="00DF1F0B">
      <w:pPr>
        <w:rPr>
          <w:rFonts w:cstheme="minorHAnsi"/>
          <w:b/>
          <w:bCs/>
          <w:u w:val="single"/>
          <w:lang w:val="en-GB"/>
        </w:rPr>
      </w:pPr>
    </w:p>
    <w:sectPr w:rsidR="00DF1F0B" w:rsidRPr="00DF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7AEF"/>
    <w:multiLevelType w:val="hybridMultilevel"/>
    <w:tmpl w:val="43F21D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7"/>
    <w:rsid w:val="00381678"/>
    <w:rsid w:val="003E6321"/>
    <w:rsid w:val="0046483C"/>
    <w:rsid w:val="00476208"/>
    <w:rsid w:val="00512185"/>
    <w:rsid w:val="00704437"/>
    <w:rsid w:val="0099676F"/>
    <w:rsid w:val="00A81510"/>
    <w:rsid w:val="00DF1F0B"/>
    <w:rsid w:val="00E12505"/>
    <w:rsid w:val="00E41A94"/>
    <w:rsid w:val="00E507D6"/>
    <w:rsid w:val="00E77FB2"/>
    <w:rsid w:val="00E97A96"/>
    <w:rsid w:val="00F245D6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00C9E"/>
  <w15:chartTrackingRefBased/>
  <w15:docId w15:val="{9FD35F43-EFD6-45CB-804E-A3F7ED66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1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A9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p">
    <w:name w:val="p"/>
    <w:basedOn w:val="Normal"/>
    <w:rsid w:val="00E4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E9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DF1F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rediseases.org/rare-diseases/nontuberculous-mycobacterial-lung-dise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659C-4B4D-495A-9596-4C29510B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Mpofu (213572387)</dc:creator>
  <cp:keywords/>
  <dc:description/>
  <cp:lastModifiedBy>Kelvin Mpofu (213572387)</cp:lastModifiedBy>
  <cp:revision>2</cp:revision>
  <dcterms:created xsi:type="dcterms:W3CDTF">2021-09-02T07:17:00Z</dcterms:created>
  <dcterms:modified xsi:type="dcterms:W3CDTF">2021-09-04T09:09:00Z</dcterms:modified>
</cp:coreProperties>
</file>