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87Sr 低温光晶格钟 — 三维装置渲染验证记录</w:t>
      </w:r>
    </w:p>
    <w:p>
      <w:r>
        <w:t>文件版本：v4 ｜ 日期：2026-10-10 ｜ 可编辑草稿</w:t>
      </w:r>
    </w:p>
    <w:p>
      <w:pPr>
        <w:pStyle w:val="Heading1"/>
      </w:pPr>
      <w:r>
        <w:t>一、本轮输入</w:t>
      </w:r>
    </w:p>
    <w:p>
      <w:pPr>
        <w:pStyle w:val="ListBullet"/>
      </w:pPr>
      <w:r>
        <w:t>用户反馈：v2 整图全灰、未通过；要求撤回"全部可见"自检结论并如实记录</w:t>
      </w:r>
    </w:p>
    <w:p>
      <w:pPr>
        <w:pStyle w:val="ListBullet"/>
      </w:pPr>
      <w:r>
        <w:t>用户指定交付：无文字整体预览 + 铜腔局部剖切预览，.blend + 可重跑脚本，简短记录</w:t>
      </w:r>
    </w:p>
    <w:p>
      <w:pPr>
        <w:pStyle w:val="ListBullet"/>
      </w:pPr>
      <w:r>
        <w:t>范围限定：Fig.7 的 MOT 与拟建低温铜腔局部，暂不扩展炉子/慢速器/移动平台</w:t>
      </w:r>
    </w:p>
    <w:p>
      <w:pPr>
        <w:pStyle w:val="Heading1"/>
      </w:pPr>
      <w:r>
        <w:t>二、实际修改（build_blender_v4.py，基于 v3）</w:t>
      </w:r>
    </w:p>
    <w:p>
      <w:pPr>
        <w:pStyle w:val="ListBullet"/>
      </w:pPr>
      <w:r>
        <w:t>真空室：布尔薄壁壳体(3mm壁厚)，剖切前壁+顶部前1/4，端口开孔+玻璃窗</w:t>
      </w:r>
    </w:p>
    <w:p>
      <w:pPr>
        <w:pStyle w:val="ListBullet"/>
      </w:pPr>
      <w:r>
        <w:t>低温铜腔：布尔真正空心（内径10mm=半径5mm，长160mm，论文值）；壁厚1.5mm为假设值；CuO内衬；aperture隔膜+3mm半径通孔(假设值)；后倾斜蓝宝石窗</w:t>
      </w:r>
    </w:p>
    <w:p>
      <w:pPr>
        <w:pStyle w:val="ListBullet"/>
      </w:pPr>
      <w:r>
        <w:t>MOT线圈：两个对置环形 torus（外径64mm，线径5mm）</w:t>
      </w:r>
    </w:p>
    <w:p>
      <w:pPr>
        <w:pStyle w:val="ListBullet"/>
      </w:pPr>
      <w:r>
        <w:t>冷却光束(461nm)×4；晶格光束(magic wavelength [11])双向；钟光束(698nm)+二向色镜(拟建)</w:t>
      </w:r>
    </w:p>
    <w:p>
      <w:pPr>
        <w:pStyle w:val="ListBullet"/>
      </w:pPr>
      <w:r>
        <w:t>相机 cam1 总览 / cam3 侧视剖切；无 3D 文字</w:t>
      </w:r>
    </w:p>
    <w:p>
      <w:pPr>
        <w:pStyle w:val="Heading1"/>
      </w:pPr>
      <w:r>
        <w:t>三、自动检查与覆盖范围（如实）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覆盖范围限制</w:t>
            </w:r>
          </w:p>
        </w:tc>
      </w:tr>
      <w:tr>
        <w:tc>
          <w:tcPr>
            <w:tcW w:type="dxa" w:w="2880"/>
          </w:tcPr>
          <w:p>
            <w:r>
              <w:t>相机视锥归一化坐标</w:t>
            </w:r>
          </w:p>
        </w:tc>
        <w:tc>
          <w:tcPr>
            <w:tcW w:type="dxa" w:w="2880"/>
          </w:tcPr>
          <w:p>
            <w:r>
              <w:t>cam1/cam3 下全部关键对象 in_full_frame=True</w:t>
            </w:r>
          </w:p>
        </w:tc>
        <w:tc>
          <w:tcPr>
            <w:tcW w:type="dxa" w:w="2880"/>
          </w:tcPr>
          <w:p>
            <w:r>
              <w:t>仅验证"在画面范围内"，不验证是否被前层实体遮挡</w:t>
            </w:r>
          </w:p>
        </w:tc>
      </w:tr>
      <w:tr>
        <w:tc>
          <w:tcPr>
            <w:tcW w:type="dxa" w:w="2880"/>
          </w:tcPr>
          <w:p>
            <w:r>
              <w:t>aperture 通孔射线</w:t>
            </w:r>
          </w:p>
        </w:tc>
        <w:tc>
          <w:tcPr>
            <w:tcW w:type="dxa" w:w="2880"/>
          </w:tcPr>
          <w:p>
            <w:r>
              <w:t>射线穿入通孔后命中后方光束而非实心堵死</w:t>
            </w:r>
          </w:p>
        </w:tc>
        <w:tc>
          <w:tcPr>
            <w:tcW w:type="dxa" w:w="2880"/>
          </w:tcPr>
          <w:p>
            <w:r>
              <w:t>确认通孔为空心</w:t>
            </w:r>
          </w:p>
        </w:tc>
      </w:tr>
      <w:tr>
        <w:tc>
          <w:tcPr>
            <w:tcW w:type="dxa" w:w="2880"/>
          </w:tcPr>
          <w:p>
            <w:r>
              <w:t>PNG 色彩丰富度</w:t>
            </w:r>
          </w:p>
        </w:tc>
        <w:tc>
          <w:tcPr>
            <w:tcW w:type="dxa" w:w="2880"/>
          </w:tcPr>
          <w:p>
            <w:r>
              <w:t>coarse colors 72–78，bright frac 0.23–0.41，非全灰</w:t>
            </w:r>
          </w:p>
        </w:tc>
        <w:tc>
          <w:tcPr>
            <w:tcW w:type="dxa" w:w="2880"/>
          </w:tcPr>
          <w:p>
            <w:r>
              <w:t>只排除整图单色故障，不能证明具体部件可见</w:t>
            </w:r>
          </w:p>
        </w:tc>
      </w:tr>
      <w:tr>
        <w:tc>
          <w:tcPr>
            <w:tcW w:type="dxa" w:w="2880"/>
          </w:tcPr>
          <w:p>
            <w:r>
              <w:t>遮挡射线 cam→目标中心</w:t>
            </w:r>
          </w:p>
        </w:tc>
        <w:tc>
          <w:tcPr>
            <w:tcW w:type="dxa" w:w="2880"/>
          </w:tcPr>
          <w:p>
            <w:r>
              <w:t>cam_overview: mot_coil_L/R、ap_ring、sapph_window 被 cav_outer/lat_beam_1 先命中；cam_cut 类似</w:t>
            </w:r>
          </w:p>
        </w:tc>
        <w:tc>
          <w:tcPr>
            <w:tcW w:type="dxa" w:w="2880"/>
          </w:tcPr>
          <w:p>
            <w:r>
              <w:t>这是直线投影"被何物先命中"信息，不等于渲染图中看不见；脚本保留在 occlusion_check_v4.py，不据此声称无遮挡</w:t>
            </w:r>
          </w:p>
        </w:tc>
      </w:tr>
      <w:tr>
        <w:tc>
          <w:tcPr>
            <w:tcW w:type="dxa" w:w="2880"/>
          </w:tcPr>
          <w:p>
            <w:r>
              <w:t>能否直接查看 PNG 像素</w:t>
            </w:r>
          </w:p>
        </w:tc>
        <w:tc>
          <w:tcPr>
            <w:tcW w:type="dxa" w:w="2880"/>
          </w:tcPr>
          <w:p>
            <w:r>
              <w:t>read 工具无法读二进制 PNG 内容</w:t>
            </w:r>
          </w:p>
        </w:tc>
        <w:tc>
          <w:tcPr>
            <w:tcW w:type="dxa" w:w="2880"/>
          </w:tcPr>
          <w:p>
            <w:r>
              <w:t>以上为几何/统计层面验证，最终可见性需用户目检</w:t>
            </w:r>
          </w:p>
        </w:tc>
      </w:tr>
    </w:tbl>
    <w:p>
      <w:pPr>
        <w:pStyle w:val="Heading1"/>
      </w:pPr>
      <w:r>
        <w:t>四、已知近似/未确定项</w:t>
      </w:r>
    </w:p>
    <w:p>
      <w:pPr>
        <w:pStyle w:val="ListBullet"/>
      </w:pPr>
      <w:r>
        <w:t>真空室外形 200×150×150mm、端口 20mm、MOT 线圈间距 40mm：论文未给，示意值</w:t>
      </w:r>
    </w:p>
    <w:p>
      <w:pPr>
        <w:pStyle w:val="ListBullet"/>
      </w:pPr>
      <w:r>
        <w:t>腔壁厚 1.5mm、aperture 通孔半径 3mm：假设值，已记录</w:t>
      </w:r>
    </w:p>
    <w:p>
      <w:pPr>
        <w:pStyle w:val="ListBullet"/>
      </w:pPr>
      <w:r>
        <w:t>magic wavelength 具体数值：未核实，图中不标具体 nm（[11]=Katori PRL 91:173005 2003）</w:t>
      </w:r>
    </w:p>
    <w:p>
      <w:pPr>
        <w:pStyle w:val="ListBullet"/>
      </w:pPr>
      <w:r>
        <w:t>冷却温度序列：3 mK（一级MOT）→ 50 µK（二级MOT）→ 4 µK（装格前），正文核实</w:t>
      </w:r>
    </w:p>
    <w:p>
      <w:pPr>
        <w:pStyle w:val="ListBullet"/>
      </w:pPr>
      <w:r>
        <w:t>装置状态：低温铜腔/后窗/dichroic = proposed（拟建），本次为三维重构，非已建成整体装置</w:t>
      </w:r>
    </w:p>
    <w:p>
      <w:pPr>
        <w:pStyle w:val="Heading1"/>
      </w:pPr>
      <w:r>
        <w:t>五、本轮执行结论（未获用户验收）</w:t>
      </w:r>
    </w:p>
    <w:p>
      <w:r>
        <w:t>自动检查通过"视锥入框"+"非全灰"两项；遮挡检查给出投影层面信息，不能替代目检。尚未获用户确认两张 PNG 实际可见内容；按"不能因模型含某部件就宣称图片中看得见它"的要求，记录到此，待用户目检反馈。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