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FEB2F" w14:textId="34BAAF25" w:rsidR="00854E01" w:rsidRPr="00854E01" w:rsidRDefault="00B4286A" w:rsidP="005511D1">
      <w:pPr>
        <w:jc w:val="center"/>
        <w:rPr>
          <w:rFonts w:eastAsia="Times New Roman" w:cs="Arial"/>
          <w:b/>
          <w:bCs/>
          <w:sz w:val="24"/>
          <w:lang w:val="en-GB" w:eastAsia="de-DE"/>
        </w:rPr>
      </w:pPr>
      <w:bookmarkStart w:id="0" w:name="_Ref385498653"/>
      <w:r w:rsidRPr="00B4286A">
        <w:rPr>
          <w:rFonts w:eastAsia="Times New Roman" w:cs="Arial"/>
          <w:b/>
          <w:bCs/>
          <w:sz w:val="24"/>
          <w:lang w:val="en-GB" w:eastAsia="de-DE"/>
        </w:rPr>
        <w:t>Decarbonising Copper Ore Processing in Australia with Hybrid Microgrids: The Role of Dispatch Strateg</w:t>
      </w:r>
      <w:r w:rsidR="00D14DC0">
        <w:rPr>
          <w:rFonts w:eastAsia="Times New Roman" w:cs="Arial"/>
          <w:b/>
          <w:bCs/>
          <w:sz w:val="24"/>
          <w:lang w:val="en-GB" w:eastAsia="de-DE"/>
        </w:rPr>
        <w:t>y</w:t>
      </w:r>
      <w:r w:rsidRPr="00B4286A">
        <w:rPr>
          <w:rFonts w:eastAsia="Times New Roman" w:cs="Arial"/>
          <w:b/>
          <w:bCs/>
          <w:sz w:val="24"/>
          <w:lang w:val="en-GB" w:eastAsia="de-DE"/>
        </w:rPr>
        <w:t xml:space="preserve"> and Demand-Side Flexibility</w:t>
      </w:r>
    </w:p>
    <w:p w14:paraId="7BF6105E" w14:textId="73DC60C3" w:rsidR="00F55575" w:rsidRPr="0096160D" w:rsidRDefault="00F55575" w:rsidP="00325CEA">
      <w:pPr>
        <w:rPr>
          <w:b/>
          <w:bCs/>
          <w:lang w:val="en-GB"/>
        </w:rPr>
      </w:pPr>
      <w:r w:rsidRPr="0096160D">
        <w:rPr>
          <w:b/>
          <w:bCs/>
          <w:lang w:val="en-GB"/>
        </w:rPr>
        <w:t>Abstract</w:t>
      </w:r>
    </w:p>
    <w:p w14:paraId="128BCACD" w14:textId="1050C8E4" w:rsidR="00F55575" w:rsidRDefault="00FE3633" w:rsidP="00325CEA">
      <w:pPr>
        <w:rPr>
          <w:lang w:val="en-GB"/>
        </w:rPr>
      </w:pPr>
      <w:r w:rsidRPr="00FE3633">
        <w:rPr>
          <w:lang w:val="en-GB"/>
        </w:rPr>
        <w:t>The global shift to sustainable energy has increased the demand for copper, essential for renewable energy infrastructure due to its excellent electrical and thermal properties. As a major copper producer, Australia plays a key role in this transition. Decarbonising copper mining, especially the energy-intensive ore processing stage, requires innovative renewable solutions. This paper examines the optimisation of hybrid microgrids to reduce carbon emissions in Australian copper deposits. We develop a hybrid microgrid model, applied to all known Australian copper deposits, incorporating solar PV, wind turbines, diesel generators, and battery storage. Our model focuses on optimisations through dispatch strategies and demand-side flexibility. Results show that an optimal renewable energy penetration of 80% in hybrid microgrids achieves the lowest Levelized Cost of Electricity (LCOE) at about $0.32/kWh, reducing annual carbon emissions to around 10,000 tonnes. The study highlights the significant impact of dispatch strategies and demand-side flexibility on hybrid microgrid economics. This research provides valuable insights into the large-scale implementation of hybrid microgrids in mining regions, emphasising their</w:t>
      </w:r>
      <w:r w:rsidR="001B7B80">
        <w:rPr>
          <w:lang w:val="en-GB"/>
        </w:rPr>
        <w:t xml:space="preserve"> </w:t>
      </w:r>
      <w:r w:rsidRPr="00FE3633">
        <w:rPr>
          <w:lang w:val="en-GB"/>
        </w:rPr>
        <w:t>economic and environmental benefits.</w:t>
      </w:r>
    </w:p>
    <w:p w14:paraId="0DC23FCD" w14:textId="7A69C64F" w:rsidR="000E6E1C" w:rsidRDefault="00854E01" w:rsidP="00325CEA">
      <w:pPr>
        <w:pStyle w:val="Heading1"/>
      </w:pPr>
      <w:r>
        <w:t xml:space="preserve">1. </w:t>
      </w:r>
      <w:r w:rsidR="00FE3633">
        <w:t>Introduction</w:t>
      </w:r>
    </w:p>
    <w:p w14:paraId="1F54A9B3" w14:textId="66C07DBE" w:rsidR="001B7B80" w:rsidRDefault="00854E01" w:rsidP="001B7B80">
      <w:pPr>
        <w:pStyle w:val="BodyText"/>
      </w:pPr>
      <w:r>
        <w:t>The growing use of renewable energy sources like solar, wind, hydro, biomass, and geothermal highlights the global move towards sustainable energy. This shift is driven by the increasing costs and environmental issues linked to fossil fuels</w:t>
      </w:r>
      <w:r>
        <w:t xml:space="preserve">. </w:t>
      </w:r>
      <w:r>
        <w:t xml:space="preserve">This transition has significantly </w:t>
      </w:r>
      <w:r>
        <w:t>increased</w:t>
      </w:r>
      <w:r>
        <w:t xml:space="preserve"> the demand for copper, especially as solar PV and wind systems heavily rely on copper for effective operation</w:t>
      </w:r>
      <w:r>
        <w:t xml:space="preserve"> </w:t>
      </w:r>
      <w:r>
        <w:fldChar w:fldCharType="begin"/>
      </w:r>
      <w:r>
        <w:instrText xml:space="preserve"> ADDIN ZOTERO_ITEM CSL_CITATION {"citationID":"sqH5bXSs","properties":{"formattedCitation":"(Gilmore et al., 2022; Kim and Gould, 2021; Moreno-Leiva et al., 2020)","plainCitation":"(Gilmore et al., 2022; Kim and Gould, 2021; Moreno-Leiva et al., 2020)","noteIndex":0},"citationItems":[{"id":678,"uris":["http://zotero.org/users/10115479/items/KL6BRQDU"],"itemData":{"id":678,"type":"article-journal","abstract":"Political decarbonisation commitments and outcompeting renewable electricity costs are disrupting energy systems. This foresight study prepares stakeholders for this dynamic, reactive change by examining visions that constitute a probable, plausible and possible component of future energy systems. Visions were extrapolated through an expert review of energy technologies and Australian case studies. ‘Probable–Abundant’ envisages a high penetration of solar and wind with increased value of balancing services: batteries, pumped hydro and transmission. This vision is exemplified by the South Australian grid, where variable and distributed sources lead generation. ‘Plausible–Traded’ envisages power and power fuel exports given hydrogen and high-voltage direct-current transmission advances, reflected by public and private sector plans to leverage rich natural resources for national and intercontinental exchanges. ‘Possible–Zero’ envisages the application of carbon removal and nuclear technologies in response to the escalating challenge of deep decarbonisation. The Australian critical minerals strategy signals adaptations of high-emission industries to shifting energy resource values. These visions contribute a flexible, accessible framework for diverse stakeholders to discuss uncertain energy systems changes and consider issues from new perspectives. Appraisal of preferred futures allows stakeholders to recognise observed changes as positive or negative and may lead to new planning aspirations.","container-title":"Energy","DOI":"10.1016/j.energy.2022.125089","ISSN":"0360-5442","journalAbbreviation":"Energy","page":"125089","source":"ScienceDirect","title":"Clean energy futures: An Australian based foresight study","title-short":"Clean energy futures","volume":"260","author":[{"family":"Gilmore","given":"Nicholas"},{"family":"Koskinen","given":"Ilpo"},{"family":"Gennip","given":"Domenique","non-dropping-particle":"van"},{"family":"Paget","given":"Greta"},{"family":"Burr","given":"Patrick A."},{"family":"Obbard","given":"Edward G."},{"family":"Daiyan","given":"Rahman"},{"family":"Sproul","given":"Alistair"},{"family":"Kay","given":"Merlinde"},{"family":"Lennon","given":"Alison"},{"family":"Konstantinou","given":"Georgios"},{"family":"Hemer","given":"Mark"},{"family":"Gui","given":"Emi Minghui"},{"family":"Gurieff","given":"Nicholas"}],"issued":{"date-parts":[["2022",12,1]]}}},{"id":324,"uris":["http://zotero.org/users/10115479/items/AREIEFMA"],"itemData":{"id":324,"type":"webpage","container-title":"World Energy Outlook - IEA","language":"en-GB","title":"The Role of Critical Minerals in Clean Energy Transitions – Analysis","URL":"https://www.iea.org/reports/the-role-of-critical-minerals-in-clean-energy-transitions","author":[{"family":"Kim","given":"Tae-Yoon"},{"family":"Gould","given":"Tim"}],"issued":{"date-parts":[["2021"]]}}},{"id":692,"uris":["http://zotero.org/users/10115479/items/8KS2ZDNA"],"itemData":{"id":692,"type":"article-journal","abstract":"Renewable energy systems are now accepted to be mandatory for climate change mitigation. These systems require a higher material supply than conventional ones. Particularly, they require more copper. The production of this metal, however, is intensive in energy consumption and emissions. Therefore, renewable energy systems must be used to improve the environmental performance of copper production. We cover the current state of research and develop recommendations for the design of renewable energy systems for copper production. To complement our analysis, we also consider studies from other industries and regional energy systems. We provide six recommendations for future modeling: (a) current energy demand models for copper production are overly simplistic and need to be enhanced for planning with high levels of renewable technologies; (b) multi-vector systems (electricity, heat, and fuels) need to be explicitly modeled to capture the readily available flexibility of the system; (c) copper production is done in arid regions, where water supply is energy-intensive, then, water management should be integrated in the overall design of the energy system; (d) there is operational flexibility in existing copper plants, which needs to be better understood and assessed; (e) the design of future copper mines should adapt to the dynamics of available renewable energy sources; and (f) life cycle impacts of the components of the system need to be explicitly minimized in the optimization models. Researchers and decision-makers from the copper and energy sector will benefit from this comprehensive review and these recommendations. We hope it will accelerate the deployment of renewables, particularly in the copper industry.","container-title":"Journal of Cleaner Production","DOI":"10.1016/j.jclepro.2019.118978","ISSN":"0959-6526","journalAbbreviation":"Journal of Cleaner Production","page":"118978","source":"ScienceDirect","title":"Renewable energy in copper production: A review on systems design and methodological approaches","title-short":"Renewable energy in copper production","volume":"246","author":[{"family":"Moreno-Leiva","given":"Simón"},{"family":"Haas","given":"Jannik"},{"family":"Junne","given":"Tobias"},{"family":"Valencia","given":"Felipe"},{"family":"Godin","given":"Hélène"},{"family":"Kracht","given":"Willy"},{"family":"Nowak","given":"Wolfgang"},{"family":"Eltrop","given":"Ludger"}],"issued":{"date-parts":[["2020",2,10]]}}}],"schema":"https://github.com/citation-style-language/schema/raw/master/csl-citation.json"} </w:instrText>
      </w:r>
      <w:r>
        <w:fldChar w:fldCharType="separate"/>
      </w:r>
      <w:r w:rsidRPr="00854E01">
        <w:rPr>
          <w:rFonts w:cs="Arial"/>
        </w:rPr>
        <w:t>(Gilmore et al., 2022; Kim and Gould, 2021; Moreno-Leiva et al., 2020)</w:t>
      </w:r>
      <w:r>
        <w:fldChar w:fldCharType="end"/>
      </w:r>
      <w:r>
        <w:t xml:space="preserve">. </w:t>
      </w:r>
      <w:r>
        <w:t>Fig. 1 illustrates the use of critical minerals, including copper, across various clean energy technologies compared to traditional fossil fuels.</w:t>
      </w:r>
    </w:p>
    <w:p w14:paraId="1D41FFF1" w14:textId="06F2CBEF" w:rsidR="00854E01" w:rsidRDefault="005511D1" w:rsidP="00854E01">
      <w:pPr>
        <w:pStyle w:val="BodyText"/>
        <w:jc w:val="center"/>
        <w:rPr>
          <w:lang w:val="en-GB"/>
        </w:rPr>
      </w:pPr>
      <w:r w:rsidRPr="00AA18E9">
        <w:rPr>
          <w:noProof/>
        </w:rPr>
        <w:drawing>
          <wp:inline distT="0" distB="0" distL="0" distR="0" wp14:anchorId="2B8653C9" wp14:editId="1DAC87CC">
            <wp:extent cx="5526496" cy="2490952"/>
            <wp:effectExtent l="0" t="0" r="0" b="5080"/>
            <wp:docPr id="212200422" name="Picture 1" descr="A graph of minerals used in selected clean energy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422" name="Picture 1" descr="A graph of minerals used in selected clean energy technologies&#10;&#10;Description automatically generated"/>
                    <pic:cNvPicPr/>
                  </pic:nvPicPr>
                  <pic:blipFill>
                    <a:blip r:embed="rId8"/>
                    <a:stretch>
                      <a:fillRect/>
                    </a:stretch>
                  </pic:blipFill>
                  <pic:spPr>
                    <a:xfrm>
                      <a:off x="0" y="0"/>
                      <a:ext cx="5553901" cy="2503304"/>
                    </a:xfrm>
                    <a:prstGeom prst="rect">
                      <a:avLst/>
                    </a:prstGeom>
                  </pic:spPr>
                </pic:pic>
              </a:graphicData>
            </a:graphic>
          </wp:inline>
        </w:drawing>
      </w:r>
    </w:p>
    <w:p w14:paraId="2752E279" w14:textId="0BD81D6B" w:rsidR="001908CC" w:rsidRDefault="001908CC" w:rsidP="001908CC">
      <w:pPr>
        <w:pStyle w:val="NoSpacing"/>
        <w:rPr>
          <w:lang w:val="en-GB"/>
        </w:rPr>
      </w:pPr>
      <w:r w:rsidRPr="007C679E">
        <w:rPr>
          <w:b/>
          <w:lang w:val="en-GB"/>
        </w:rPr>
        <w:t>Fig</w:t>
      </w:r>
      <w:r>
        <w:rPr>
          <w:b/>
          <w:lang w:val="en-GB"/>
        </w:rPr>
        <w:t>ure</w:t>
      </w:r>
      <w:r w:rsidRPr="007C679E">
        <w:rPr>
          <w:b/>
          <w:lang w:val="en-GB"/>
        </w:rPr>
        <w:t xml:space="preserve"> 1.</w:t>
      </w:r>
      <w:r w:rsidRPr="007C679E">
        <w:rPr>
          <w:lang w:val="en-GB"/>
        </w:rPr>
        <w:t xml:space="preserve"> Critical minerals used in the traditional fossil fuels energy technologies and clean energy technologies </w:t>
      </w:r>
      <w:r w:rsidRPr="007C679E">
        <w:rPr>
          <w:lang w:val="en-GB"/>
        </w:rPr>
        <w:fldChar w:fldCharType="begin"/>
      </w:r>
      <w:r w:rsidR="00B02FBF">
        <w:rPr>
          <w:lang w:val="en-GB"/>
        </w:rPr>
        <w:instrText xml:space="preserve"> ADDIN ZOTERO_ITEM CSL_CITATION {"citationID":"Opbd4x1z","properties":{"formattedCitation":"(Kim and Gould, 2021)","plainCitation":"(Kim and Gould, 2021)","noteIndex":0},"citationItems":[{"id":324,"uris":["http://zotero.org/users/10115479/items/AREIEFMA"],"itemData":{"id":324,"type":"webpage","container-title":"World Energy Outlook - IEA","language":"en-GB","title":"The Role of Critical Minerals in Clean Energy Transitions – Analysis","URL":"https://www.iea.org/reports/the-role-of-critical-minerals-in-clean-energy-transitions","author":[{"family":"Kim","given":"Tae-Yoon"},{"family":"Gould","given":"Tim"}],"issued":{"date-parts":[["2021"]]}}}],"schema":"https://github.com/citation-style-language/schema/raw/master/csl-citation.json"} </w:instrText>
      </w:r>
      <w:r w:rsidRPr="007C679E">
        <w:rPr>
          <w:lang w:val="en-GB"/>
        </w:rPr>
        <w:fldChar w:fldCharType="separate"/>
      </w:r>
      <w:r w:rsidRPr="007C679E">
        <w:rPr>
          <w:lang w:val="en-GB"/>
        </w:rPr>
        <w:t>(Kim and Gould, 2021)</w:t>
      </w:r>
      <w:r w:rsidRPr="007C679E">
        <w:rPr>
          <w:lang w:val="en-GB"/>
        </w:rPr>
        <w:fldChar w:fldCharType="end"/>
      </w:r>
      <w:r w:rsidRPr="007C679E">
        <w:rPr>
          <w:lang w:val="en-GB"/>
        </w:rPr>
        <w:t>.</w:t>
      </w:r>
    </w:p>
    <w:p w14:paraId="46047BA1" w14:textId="3A4719FD" w:rsidR="001908CC" w:rsidRPr="001908CC" w:rsidRDefault="001908CC" w:rsidP="001908CC">
      <w:pPr>
        <w:pStyle w:val="NoSpacing"/>
        <w:rPr>
          <w:lang w:val="en-GB"/>
        </w:rPr>
      </w:pPr>
      <w:r w:rsidRPr="001908CC">
        <w:rPr>
          <w:lang w:val="en-GB"/>
        </w:rPr>
        <w:t xml:space="preserve">Australia’s abundant renewable energy resources offer a promising opportunity to use solar PV and wind for decarbonising its mining sector </w:t>
      </w:r>
      <w:r w:rsidRPr="377EC210">
        <w:rPr>
          <w:rFonts w:eastAsiaTheme="minorEastAsia"/>
          <w:lang w:eastAsia="zh-CN"/>
        </w:rPr>
        <w:fldChar w:fldCharType="begin"/>
      </w:r>
      <w:r w:rsidR="00B02FBF">
        <w:rPr>
          <w:rFonts w:eastAsiaTheme="minorEastAsia"/>
          <w:lang w:eastAsia="zh-CN"/>
        </w:rPr>
        <w:instrText xml:space="preserve"> ADDIN ZOTERO_ITEM CSL_CITATION {"citationID":"3QOys8es","properties":{"formattedCitation":"(Huang et al., 2024; Strazzabosco et al., 2022)","plainCitation":"(Huang et al., 2024; Strazzabosco et al., 2022)","noteIndex":0},"citationItems":[{"id":742,"uris":["http://zotero.org/users/10115479/items/KSSBZLKH"],"itemData":{"id":742,"type":"article-journal","abstract":"Critical minerals are essential in numerous industrial applications, particularly those related to green energy production. Nonetheless, the mining and processing of these minerals are severely energy-intensive, relying predominantly on diesel, coal, and gas as sources of power in Australia. Consequently, the use of diesel, coal, and gas as power sources results in a substantial carbon footprint. An important research gap that remains to be explored in the Australian mining sector is investigating the potential for decarbonising the mining of critical minerals through the implementation of renewable energy to attain sustainable mining. This study examines the potential of using solar photovoltaics (PV) and wind energy towards the decarbonisation of critical mineral deposits, taking into account both the intrinsic mineral characteristics such as ore grade, ore depth, and co-existing mineral clusters, as well as external factors such as the capacity factor (CF) and the periods of low energy generation (lull times) of solar PV and wind, which are crucial in assessing the availability of the renewable energy sources explored. The results from this study indicate that a considerable number of critical mineral deposits in Australia are remotely located from the existing national transmission line infrastructure. These deposits often form geographical clusters and typically have favourable conditions for solar PV and wind energy implementation, characterised by high capacity factors and minimal lull times in solar PV/wind. This clustering presents a promising opportunity for powering mining activities with solar PV and wind energy, thus facilitating the decarbonisation of mining operations in Australia through the utilisation of shared renewable energy infrastructures. Moreover, the study identifies specific mineral deposits that are most suitable for decarbonisation with solar PV and wind energy integration. The research method used in this study proposes an evaluative framework that correlates the capacity factor of solar PV and wind with lull times from these sources, as well as with mineral intrinsic characteristics within deposits. This framework enables a comparative analysis of different deposits, assessing their relative suitability for the integration of solar PV and wind energy technologies. This framework is versatile and can be employed to assess different renewable energy sources, making it applicable to various global contexts. The findings from this study underscore the transformative potential of renewable energy sources, indicating that solar PV and wind energy offer new opportunities for attaining decarbonised and sustainable mining in Australia.","container-title":"Journal of Cleaner Production","DOI":"10.1016/j.jclepro.2024.142300","ISSN":"0959-6526","journalAbbreviation":"Journal of Cleaner Production","page":"142300","source":"ScienceDirect","title":"Decarbonising Mining of Australia's Critical Mineral Deposits: Opportunities for Sustainable Mining through Solar Photovoltaics and Wind Energy Integration","title-short":"Decarbonising Mining of Australia's Critical Mineral Deposits","author":[{"family":"Huang","given":"Hanrong"},{"family":"Ata","given":"Seher"},{"family":"Rougieux","given":"Fiacre"},{"family":"Kay","given":"Merlinde"}],"issued":{"date-parts":[["2024",4,24]]}}},{"id":462,"uris":["http://zotero.org/users/10115479/items/9T93CDV6"],"itemData":{"id":462,"type":"article-journal","abstract":"Mining companies have increasingly shown interest in renewable electricity generation to address rising energy costs and reduce greenhouse gas emissions from their operations. Yet, the extent to which renewable energy sources are currently adopted by these companies is unknown. This work quantifies and characterises the current level of renewable energy adoption by Australian mining houses and the evolution of renewable energy technology adoption in this industry over time. Moreover, this work contributes to an increased understanding of factors driving or inhibiting the adoption of renewable energy in mining. In 2021, only 7% of the existing mines had or were planning to have a renewable energy system. Of the total renewable energy systems identified in this analysis, 15 were operational, 2 were under construction and 10 have been announced and planned for possible future deployment. The analysis of historical changes in renewable energy technology has highlighted that 70% of the existing operational systems have only been installed since 2019. The characteristics of the mines highly affect the decision to deploy renewable energy systems. 70% of the renewable energy systems analysed in this study were or are planned to be deployed on-site at off-grid mines powered by diesel and/or gas. Solar photovoltaic is the preferred renewable energy technology for mining operations, installed or proposed for 92% of the 27 projects included in this study. By providing a detailed picture of past and current trends of renewable energy adoption, this study identifies weaknesses and points of intervention in the emerging market for renewables in mining. In doing so, it offers guidance to policy and decision makers for the development of informed solutions to increase renewable energy uptake in mining.","container-title":"Renewable Energy","DOI":"10.1016/j.renene.2022.01.021","ISSN":"0960-1481","journalAbbreviation":"Renewable Energy","language":"en","page":"135-143","source":"ScienceDirect","title":"A review of renewable energy practices in the Australian mining industry","volume":"187","author":[{"family":"Strazzabosco","given":"A."},{"family":"Gruenhagen","given":"J. H."},{"family":"Cox","given":"S."}],"issued":{"date-parts":[["2022",3,1]]}}}],"schema":"https://github.com/citation-style-language/schema/raw/master/csl-citation.json"} </w:instrText>
      </w:r>
      <w:r w:rsidRPr="377EC210">
        <w:rPr>
          <w:rFonts w:eastAsiaTheme="minorEastAsia"/>
          <w:lang w:eastAsia="zh-CN"/>
        </w:rPr>
        <w:fldChar w:fldCharType="separate"/>
      </w:r>
      <w:r w:rsidRPr="377EC210">
        <w:rPr>
          <w:rFonts w:eastAsiaTheme="minorEastAsia"/>
        </w:rPr>
        <w:t>(Huang et al., 2024; Strazzabosco et al., 2022)</w:t>
      </w:r>
      <w:r w:rsidRPr="377EC210">
        <w:rPr>
          <w:rFonts w:eastAsiaTheme="minorEastAsia"/>
          <w:lang w:eastAsia="zh-CN"/>
        </w:rPr>
        <w:fldChar w:fldCharType="end"/>
      </w:r>
      <w:r>
        <w:rPr>
          <w:rFonts w:eastAsiaTheme="minorEastAsia"/>
          <w:lang w:eastAsia="zh-CN"/>
        </w:rPr>
        <w:t xml:space="preserve">. </w:t>
      </w:r>
      <w:r w:rsidRPr="001908CC">
        <w:rPr>
          <w:lang w:val="en-GB"/>
        </w:rPr>
        <w:t xml:space="preserve">Hybrid microgrids, which combine multiple renewable energy sources, are increasingly seen as a viable solution for powering remote mining operations </w:t>
      </w:r>
      <w:r w:rsidR="00E321AD" w:rsidRPr="377EC210">
        <w:rPr>
          <w:rFonts w:eastAsiaTheme="minorEastAsia"/>
          <w:lang w:eastAsia="zh-CN"/>
        </w:rPr>
        <w:fldChar w:fldCharType="begin"/>
      </w:r>
      <w:r w:rsidR="00B02FBF">
        <w:rPr>
          <w:rFonts w:eastAsiaTheme="minorEastAsia"/>
          <w:lang w:eastAsia="zh-CN"/>
        </w:rPr>
        <w:instrText xml:space="preserve"> ADDIN ZOTERO_ITEM CSL_CITATION {"citationID":"rMHpLV17","properties":{"formattedCitation":"(Ellabban and Alassi, 2021; Igogo et al., 2021; Strazzabosco et al., 2022)","plainCitation":"(Ellabban and Alassi, 2021; Igogo et al., 2021; Strazzabosco et al., 2022)","noteIndex":0},"citationItems":[{"id":4,"uris":["http://zotero.org/users/10115479/items/T46L7IT5"],"itemData":{"id":4,"type":"article-journal","abstract":"The mining industry is showing increasing interest in adding renewable energy sources (RES) to their mines energy mix as one of the principles of sustainable and proﬁtable mining. This paper proposes a systematic and integrative optimal economic hybrid microgrid sizing framework for proﬁtability analysis in off-grid hybrid renewable-energy-based microgrids in the mining industry. The proposed framework is validated with three case studies in different mining locations in Australia based on real market data, investigating various mining site power conﬁgurations, and considering the key technical, environmental, and economic considerations. The results highlight the impact of integrating RES in greenﬁeld or brownﬁeld mines in terms of diesel/RES assets sizing and total cost of electricity generation for each scenario, in addition to evaluating the feasibility of grid-extension to the mining site versus on-site generation for a greenﬁeld scenario. Sensitivity analysis is carried out to study the impact of varying different input parameters on the system size and cost. The contributions of this research thus provide practical insights on the profitability of hybrid microgrids in mining applications to the various stakeholders such as independent power producers (IPPs), mining facility owners and policy makers.","container-title":"IET Renewable Power Generation","DOI":"10.1049/rpg2.12038","ISSN":"1752-1416, 1752-1424","issue":"2","journalAbbreviation":"IET Renewable Power Generation","language":"en","page":"409-423","source":"DOI.org (Crossref)","title":"Optimal hybrid microgrid sizing framework for the mining industry with three case studies from Australia","volume":"15","author":[{"family":"Ellabban","given":"Omar"},{"family":"Alassi","given":"Abdulrahman"}],"issued":{"date-parts":[["2021",2]]}}},{"id":457,"uris":["http://zotero.org/users/10115479/items/4YH4DC3W"],"itemData":{"id":457,"type":"article-journal","abstract":"Mining is one of the most energy-intensive industries worldwide. It also provides a critical source of raw materials for the manufacturing, transportation, construction, and energy sectors. Demand for raw materials is projected to increase as the world population grows and many low-income economies become middle-income countries. This growth in mineral demand, coupled with falling mineral ore grade, will likely increase the mining industry’s energy demand, used for activities across exploration, extraction, beneficiation and processing, and refining. At the time of this writing, mine operations are – due to their remoteness – dependent on fossil fuels such as diesel, heavy oils, and coal. In principle, mining could use energy recovery, renewable energy, and carbon capture to supplement, replace, or mitigate the impacts of fossil fuel use. However, a combination of renewable-energy technologies would be required. We explore challenges, opportunities, and enabling approaches to integrate renewable energy technologies into mining operations by examining the literature, including academic work, technical reports, and data produced by international agencies. We find that despite numerous opportunities, technical issues still need to be considered, but solutions can tailor renewables to the mining industry. Further research should focus on identifying specific opportunities, technologies, and implementation strategies across the value chain of a variety of minerals with similar operational procedures.","container-title":"Applied Energy","DOI":"10.1016/j.apenergy.2021.117375","ISSN":"0306-2619","journalAbbreviation":"Applied Energy","language":"en","page":"117375","source":"ScienceDirect","title":"Integrating renewable energy into mining operations: Opportunities, challenges, and enabling approaches","title-short":"Integrating renewable energy into mining operations","volume":"300","author":[{"family":"Igogo","given":"Tsisilile"},{"family":"Awuah-Offei","given":"Kwame"},{"family":"Newman","given":"Alexandra"},{"family":"Lowder","given":"Travis"},{"family":"Engel-Cox","given":"Jill"}],"issued":{"date-parts":[["2021",10,15]]}}},{"id":462,"uris":["http://zotero.org/users/10115479/items/9T93CDV6"],"itemData":{"id":462,"type":"article-journal","abstract":"Mining companies have increasingly shown interest in renewable electricity generation to address rising energy costs and reduce greenhouse gas emissions from their operations. Yet, the extent to which renewable energy sources are currently adopted by these companies is unknown. This work quantifies and characterises the current level of renewable energy adoption by Australian mining houses and the evolution of renewable energy technology adoption in this industry over time. Moreover, this work contributes to an increased understanding of factors driving or inhibiting the adoption of renewable energy in mining. In 2021, only 7% of the existing mines had or were planning to have a renewable energy system. Of the total renewable energy systems identified in this analysis, 15 were operational, 2 were under construction and 10 have been announced and planned for possible future deployment. The analysis of historical changes in renewable energy technology has highlighted that 70% of the existing operational systems have only been installed since 2019. The characteristics of the mines highly affect the decision to deploy renewable energy systems. 70% of the renewable energy systems analysed in this study were or are planned to be deployed on-site at off-grid mines powered by diesel and/or gas. Solar photovoltaic is the preferred renewable energy technology for mining operations, installed or proposed for 92% of the 27 projects included in this study. By providing a detailed picture of past and current trends of renewable energy adoption, this study identifies weaknesses and points of intervention in the emerging market for renewables in mining. In doing so, it offers guidance to policy and decision makers for the development of informed solutions to increase renewable energy uptake in mining.","container-title":"Renewable Energy","DOI":"10.1016/j.renene.2022.01.021","ISSN":"0960-1481","journalAbbreviation":"Renewable Energy","language":"en","page":"135-143","source":"ScienceDirect","title":"A review of renewable energy practices in the Australian mining industry","volume":"187","author":[{"family":"Strazzabosco","given":"A."},{"family":"Gruenhagen","given":"J. H."},{"family":"Cox","given":"S."}],"issued":{"date-parts":[["2022",3,1]]}}}],"schema":"https://github.com/citation-style-language/schema/raw/master/csl-citation.json"} </w:instrText>
      </w:r>
      <w:r w:rsidR="00E321AD" w:rsidRPr="377EC210">
        <w:rPr>
          <w:rFonts w:eastAsiaTheme="minorEastAsia"/>
          <w:lang w:eastAsia="zh-CN"/>
        </w:rPr>
        <w:fldChar w:fldCharType="separate"/>
      </w:r>
      <w:r w:rsidR="00E321AD" w:rsidRPr="377EC210">
        <w:rPr>
          <w:rFonts w:eastAsiaTheme="minorEastAsia"/>
        </w:rPr>
        <w:t>(Ellabban and Alassi, 2021; Igogo et al., 2021; Strazzabosco et al., 2022)</w:t>
      </w:r>
      <w:r w:rsidR="00E321AD" w:rsidRPr="377EC210">
        <w:rPr>
          <w:rFonts w:eastAsiaTheme="minorEastAsia"/>
          <w:lang w:eastAsia="zh-CN"/>
        </w:rPr>
        <w:fldChar w:fldCharType="end"/>
      </w:r>
      <w:r w:rsidR="00E321AD">
        <w:rPr>
          <w:rFonts w:eastAsiaTheme="minorEastAsia"/>
          <w:lang w:eastAsia="zh-CN"/>
        </w:rPr>
        <w:t xml:space="preserve">. </w:t>
      </w:r>
      <w:r w:rsidRPr="001908CC">
        <w:rPr>
          <w:lang w:val="en-GB"/>
        </w:rPr>
        <w:t xml:space="preserve">These microgrids provide flexible and customisable energy solutions that support renewables and promote sustainability in mining practices </w:t>
      </w:r>
      <w:r w:rsidR="00E321AD" w:rsidRPr="00AA18E9">
        <w:fldChar w:fldCharType="begin"/>
      </w:r>
      <w:r w:rsidR="00B02FBF">
        <w:instrText xml:space="preserve"> ADDIN ZOTERO_ITEM CSL_CITATION {"citationID":"sSz1WacJ","properties":{"formattedCitation":"(Ellabban and Alassi, 2021; Mirzaeva and Miller, 2022)","plainCitation":"(Ellabban and Alassi, 2021; Mirzaeva and Miller, 2022)","noteIndex":0},"citationItems":[{"id":4,"uris":["http://zotero.org/users/10115479/items/T46L7IT5"],"itemData":{"id":4,"type":"article-journal","abstract":"The mining industry is showing increasing interest in adding renewable energy sources (RES) to their mines energy mix as one of the principles of sustainable and proﬁtable mining. This paper proposes a systematic and integrative optimal economic hybrid microgrid sizing framework for proﬁtability analysis in off-grid hybrid renewable-energy-based microgrids in the mining industry. The proposed framework is validated with three case studies in different mining locations in Australia based on real market data, investigating various mining site power conﬁgurations, and considering the key technical, environmental, and economic considerations. The results highlight the impact of integrating RES in greenﬁeld or brownﬁeld mines in terms of diesel/RES assets sizing and total cost of electricity generation for each scenario, in addition to evaluating the feasibility of grid-extension to the mining site versus on-site generation for a greenﬁeld scenario. Sensitivity analysis is carried out to study the impact of varying different input parameters on the system size and cost. The contributions of this research thus provide practical insights on the profitability of hybrid microgrids in mining applications to the various stakeholders such as independent power producers (IPPs), mining facility owners and policy makers.","container-title":"IET Renewable Power Generation","DOI":"10.1049/rpg2.12038","ISSN":"1752-1416, 1752-1424","issue":"2","journalAbbreviation":"IET Renewable Power Generation","language":"en","page":"409-423","source":"DOI.org (Crossref)","title":"Optimal hybrid microgrid sizing framework for the mining industry with three case studies from Australia","volume":"15","author":[{"family":"Ellabban","given":"Omar"},{"family":"Alassi","given":"Abdulrahman"}],"issued":{"date-parts":[["2021",2]]}}},{"id":660,"uris":["http://zotero.org/users/10115479/items/XAV4V4TH"],"itemData":{"id":660,"type":"paper-conference","abstract":"The commitment of mining industry to reduction of greenhouse gas emissions necessitates enhancements in operational efficiency, electrification, and renewable-energy use. An effective way to integrate renewable resources into a mining electrical system is to utilize microgrids. This paper reviews DC and AC microgrid technologies, with a focus on coordination mechanisms between distributed generators, to achieve equitable sharing of the load power demand.The paper then discusses a specific (current-driven) control strategy for DC or AC microgrids, which uses minimal (or no) communication. The paper shows that, under this strategy, distributed generators of different ratings act in a coordinated manner and exhibit identical, first-order dynamics. Furthermore, the microgrid control is stable in the presence of any load types.The paper further discusses integration of Power Line Communication into the current-driven load sharing control. This can be used to redistribute inequalities in distributed generation resulting from faults and changed conditions. The technologies discussed in the paper offer distinct benefits to mining and other industries. Findings of the paper are supported by simulations.","container-title":"2022 IEEE IAS Petroleum and Chemical Industry Technical Conference (PCIC)","DOI":"10.1109/PCIC42668.2022.10181290","event-title":"2022 IEEE IAS Petroleum and Chemical Industry Technical Conference (PCIC)","note":"ISSN: 2161-8127","page":"533-541","source":"IEEE Xplore","title":"DC and AC Microgrids for Mining Applications","URL":"https://ieeexplore.ieee.org/abstract/document/10181290","author":[{"family":"Mirzaeva","given":"Galina"},{"family":"Miller","given":"Dmitry"}],"accessed":{"date-parts":[["2024",2,7]]},"issued":{"date-parts":[["2022",9]]}}}],"schema":"https://github.com/citation-style-language/schema/raw/master/csl-citation.json"} </w:instrText>
      </w:r>
      <w:r w:rsidR="00E321AD" w:rsidRPr="00AA18E9">
        <w:fldChar w:fldCharType="separate"/>
      </w:r>
      <w:r w:rsidR="00E321AD" w:rsidRPr="00AA18E9">
        <w:t>(Ellabban and Alassi, 2021; Mirzaeva and Miller, 2022)</w:t>
      </w:r>
      <w:r w:rsidR="00E321AD" w:rsidRPr="00AA18E9">
        <w:fldChar w:fldCharType="end"/>
      </w:r>
      <w:r w:rsidR="00E321AD">
        <w:t>.</w:t>
      </w:r>
    </w:p>
    <w:p w14:paraId="63C6CD79" w14:textId="35079912" w:rsidR="001908CC" w:rsidRDefault="001908CC" w:rsidP="001908CC">
      <w:pPr>
        <w:pStyle w:val="NoSpacing"/>
        <w:rPr>
          <w:lang w:val="en-GB"/>
        </w:rPr>
      </w:pPr>
      <w:r w:rsidRPr="001908CC">
        <w:rPr>
          <w:lang w:val="en-GB"/>
        </w:rPr>
        <w:lastRenderedPageBreak/>
        <w:t>However, there has been no comprehensive study on optimising hybrid microgrids for decarbonising mineral processing across all Australian copper deposits. This paper aims to fill this gap by exploring the roles of dispatch strategy and demand-side flexibility in optimising hybrid microgrids to reduce carbon emissions in Australia's copper mining sector.</w:t>
      </w:r>
    </w:p>
    <w:p w14:paraId="352C5E60" w14:textId="4221FE9C" w:rsidR="00E321AD" w:rsidRDefault="005511D1" w:rsidP="00E321AD">
      <w:pPr>
        <w:pStyle w:val="Heading1"/>
      </w:pPr>
      <w:r>
        <w:t>2</w:t>
      </w:r>
      <w:r w:rsidR="00E321AD">
        <w:t xml:space="preserve">. </w:t>
      </w:r>
      <w:r w:rsidR="00E321AD">
        <w:t>Methods</w:t>
      </w:r>
    </w:p>
    <w:p w14:paraId="653C2488" w14:textId="63B0A4A3" w:rsidR="005D33A4" w:rsidRPr="005D33A4" w:rsidRDefault="005D33A4" w:rsidP="004006AF">
      <w:pPr>
        <w:rPr>
          <w:lang w:val="en-AU" w:eastAsia="zh-CN"/>
        </w:rPr>
      </w:pPr>
      <w:r w:rsidRPr="005D33A4">
        <w:rPr>
          <w:lang w:val="en-AU" w:eastAsia="zh-CN"/>
        </w:rPr>
        <w:t xml:space="preserve">We began by collecting data on copper deposits and the load profile for copper ore processing in Australia. Data on 135 </w:t>
      </w:r>
      <w:r w:rsidR="00025AC8">
        <w:rPr>
          <w:lang w:val="en-AU" w:eastAsia="zh-CN"/>
        </w:rPr>
        <w:t xml:space="preserve">copper </w:t>
      </w:r>
      <w:r w:rsidRPr="005D33A4">
        <w:rPr>
          <w:lang w:val="en-AU" w:eastAsia="zh-CN"/>
        </w:rPr>
        <w:t xml:space="preserve">deposits was sourced from Geoscience Australia's critical minerals database </w:t>
      </w:r>
      <w:r w:rsidR="004006AF" w:rsidRPr="00AA18E9">
        <w:fldChar w:fldCharType="begin"/>
      </w:r>
      <w:r w:rsidR="00B02FBF">
        <w:instrText xml:space="preserve"> ADDIN ZOTERO_ITEM CSL_CITATION {"citationID":"CZ8mlXTi","properties":{"formattedCitation":"(Champion et al., 2021)","plainCitation":"(Champion et al., 2021)","noteIndex":0},"citationItems":[{"id":719,"uris":["http://zotero.org/users/10115479/items/FI5A8TFR"],"itemData":{"id":719,"type":"webpage","title":"Critical Minerals in Ores - geochemistry database. Geoscience Australia, Canberra","URL":"https://pid.geoscience.gov.au/dataset/ga/145496","author":[{"family":"Champion","given":"D"},{"family":"Raymond","given":"O"},{"family":"Huston","given":"D"},{"family":"VanDerWielen","given":"S"},{"family":"Sexton","given":"M"},{"family":"Bastrakov","given":"E"},{"family":"Schroder","given":"I"},{"family":"Butcher","given":"G"},{"family":"Hawkins","given":"S"},{"literal":"J Lane"},{"family":"McAlpine","given":"S"},{"family":"Czarnota","given":"K"},{"family":"Britt","given":"A"},{"family":"Granitto","given":"M"},{"family":"Hofstra","given":"A"},{"family":"Kreiner","given":"D"},{"family":"Emsbo","given":"P"},{"family":"Kelley","given":"K"},{"family":"Wang","given":"B"},{"family":"Case","given":"G"},{"family":"Lauzière","given":"K"},{"family":"Lawley","given":"C"},{"family":"Gadd","given":"M"},{"family":"Pilote","given":"J-L"},{"family":"Létourneau","given":"F"},{"family":"Lisitsin","given":"V"},{"family":"Haji Egeh","given":"A"}],"issued":{"date-parts":[["2021"]]}}}],"schema":"https://github.com/citation-style-language/schema/raw/master/csl-citation.json"} </w:instrText>
      </w:r>
      <w:r w:rsidR="004006AF" w:rsidRPr="00AA18E9">
        <w:fldChar w:fldCharType="separate"/>
      </w:r>
      <w:r w:rsidR="004006AF" w:rsidRPr="00AA18E9">
        <w:t>(Champion et al., 2021)</w:t>
      </w:r>
      <w:r w:rsidR="004006AF" w:rsidRPr="00AA18E9">
        <w:fldChar w:fldCharType="end"/>
      </w:r>
      <w:r w:rsidR="004006AF">
        <w:t xml:space="preserve">. </w:t>
      </w:r>
      <w:r w:rsidRPr="005D33A4">
        <w:rPr>
          <w:lang w:val="en-AU" w:eastAsia="zh-CN"/>
        </w:rPr>
        <w:t xml:space="preserve">The load profile, derived from the Semi-Autogenous Ball Mill Crusher (SABC) comminution circuit, included specific power consumption for each component </w:t>
      </w:r>
      <w:r w:rsidR="004006AF" w:rsidRPr="00AA18E9">
        <w:rPr>
          <w:rFonts w:eastAsiaTheme="minorEastAsia"/>
          <w:lang w:eastAsia="zh-CN"/>
        </w:rPr>
        <w:fldChar w:fldCharType="begin"/>
      </w:r>
      <w:r w:rsidR="00B02FBF">
        <w:rPr>
          <w:rFonts w:eastAsiaTheme="minorEastAsia"/>
          <w:lang w:eastAsia="zh-CN"/>
        </w:rPr>
        <w:instrText xml:space="preserve"> ADDIN ZOTERO_ITEM CSL_CITATION {"citationID":"cs335nYn","properties":{"formattedCitation":"(Wang et al., 2013; Zhang, 2016)","plainCitation":"(Wang et al., 2013; Zhang, 2016)","noteIndex":0},"citationItems":[{"id":26,"uris":["http://zotero.org/users/10115479/items/NVPW5E7J"],"itemData":{"id":26,"type":"article-journal","abstract":"This paper summarizes a comprehensive energy and cost study comparing an existing SAG mill based circuit at Huckleberry Mine with two proposed circuits involving comminution technologies which are associated with energy efficiency: high pressure grinding rolls (HPGR) and high speed stirred mills. The specific energy requirements expressed as kWh/t for the proposed circuits were determined from pilotscale HPGR and stirred mill testing conducted at the University of British Columbia. Samples and operating data were collected from Huckleberry’s copper-molybdenum concentrator to evaluate current mill performance for comparison. To support the base case, the SABC circuit was modeled using JK SimMet® software. The main comparison focused on the complete energy requirements for each circuit, including materials handling equipment such as conveyors, screens, feeders and pumps. This paper also provides capital and operating cost estimates for each of the comminution circuits. The results showed that the HPGR - ball mill circuit achieved a 21% reduction in energy consumption over the existing SAG - ball mill circuit at the same P80 grind size of 160 µm. At a grind of 80% passing 75 µm, the HPGR - stirred mill circuit showed a 34% reduction in energy compared to the base case. It was concluded that the energy reduction for the new flowsheets significantly improved the economics of the Huckleberry comminution duty.","language":"en","page":"16","source":"Zotero","title":"Energy and Cost Comparisons of HPGR Based Circuits with the SABC Circuit Installed at the Huckleberry Mine","author":[{"family":"Wang","given":"C"},{"family":"Nadolski","given":"S"},{"family":"Mejia","given":"O"},{"family":"Drozdiak","given":"J"},{"family":"Klein","given":"B"}],"issued":{"date-parts":[["2013"]]}}},{"id":718,"uris":["http://zotero.org/users/10115479/items/HECY5VBQ"],"itemData":{"id":718,"type":"article-journal","abstract":"This research is focused on the Phase I SABC milling circuit of the Wushan porphyry copper mine. Improvements to the existing circuit were targeted without any signiﬁcant alterations to existing equipment or the SABC circuit. JKSimMet simulations were used to test various operating and design conditions to improve the comminution process. Modiﬁcations to the SABC comminution circuit included an increase in the SAG mill ball charge from 8% to 10% v/v; an increase in the mill ball charge from 23% v/v to 27% v/v; an increase in the maximum operating power draw in the ball mill to 5800 kW; the replacement of the HP Series pebble crusher with a TC84 crusher; and the addition of a pebble bin. Following these improvements, an increase in circuit throughput, a reduction in energy consumption, and an increase in proﬁtability were obtained.","container-title":"Minerals","DOI":"10.3390/min6040127","ISSN":"2075-163X","issue":"4","journalAbbreviation":"Minerals","language":"en","page":"127","source":"DOI.org (Crossref)","title":"Optimizing Performance of SABC Comminution Circuit of the Wushan Porphyry Copper Mine—A Practical Approach","volume":"6","author":[{"family":"Zhang","given":"Wei"}],"issued":{"date-parts":[["2016",12,2]]}}}],"schema":"https://github.com/citation-style-language/schema/raw/master/csl-citation.json"} </w:instrText>
      </w:r>
      <w:r w:rsidR="004006AF" w:rsidRPr="00AA18E9">
        <w:rPr>
          <w:rFonts w:eastAsiaTheme="minorEastAsia"/>
          <w:lang w:eastAsia="zh-CN"/>
        </w:rPr>
        <w:fldChar w:fldCharType="separate"/>
      </w:r>
      <w:r w:rsidR="004006AF" w:rsidRPr="00AA18E9">
        <w:rPr>
          <w:rFonts w:eastAsiaTheme="minorEastAsia"/>
        </w:rPr>
        <w:t>(Wang et al., 2013; Zhang, 2016)</w:t>
      </w:r>
      <w:r w:rsidR="004006AF" w:rsidRPr="00AA18E9">
        <w:rPr>
          <w:rFonts w:eastAsiaTheme="minorEastAsia"/>
          <w:lang w:eastAsia="zh-CN"/>
        </w:rPr>
        <w:fldChar w:fldCharType="end"/>
      </w:r>
      <w:r w:rsidR="004006AF" w:rsidRPr="00AA18E9">
        <w:rPr>
          <w:rFonts w:eastAsiaTheme="minorEastAsia"/>
          <w:lang w:eastAsia="zh-CN"/>
        </w:rPr>
        <w:t>.</w:t>
      </w:r>
      <w:r w:rsidR="004006AF">
        <w:rPr>
          <w:rFonts w:eastAsiaTheme="minorEastAsia"/>
          <w:lang w:eastAsia="zh-CN"/>
        </w:rPr>
        <w:t xml:space="preserve"> </w:t>
      </w:r>
      <w:r w:rsidRPr="005D33A4">
        <w:rPr>
          <w:lang w:val="en-AU" w:eastAsia="zh-CN"/>
        </w:rPr>
        <w:t>A hybrid microgrid model was</w:t>
      </w:r>
      <w:r w:rsidR="00025AC8">
        <w:rPr>
          <w:lang w:val="en-AU" w:eastAsia="zh-CN"/>
        </w:rPr>
        <w:t xml:space="preserve"> then</w:t>
      </w:r>
      <w:r w:rsidRPr="005D33A4">
        <w:rPr>
          <w:lang w:val="en-AU" w:eastAsia="zh-CN"/>
        </w:rPr>
        <w:t xml:space="preserve"> designed, integrating solar PV panels, wind turbines, diesel generators, lithium-ion battery storage, and power converters for the copper processing circuit.</w:t>
      </w:r>
      <w:r w:rsidR="00025AC8">
        <w:rPr>
          <w:lang w:val="en-AU" w:eastAsia="zh-CN"/>
        </w:rPr>
        <w:t xml:space="preserve"> </w:t>
      </w:r>
      <w:r w:rsidRPr="005D33A4">
        <w:rPr>
          <w:lang w:val="en-AU" w:eastAsia="zh-CN"/>
        </w:rPr>
        <w:t>Simulations and optimisations were conducted at 135 copper deposits in two phases:</w:t>
      </w:r>
    </w:p>
    <w:p w14:paraId="4F5272D6" w14:textId="6A035CC0" w:rsidR="005D33A4" w:rsidRPr="005D33A4" w:rsidRDefault="005D33A4" w:rsidP="004006AF">
      <w:pPr>
        <w:rPr>
          <w:lang w:val="en-AU" w:eastAsia="zh-CN"/>
        </w:rPr>
      </w:pPr>
      <w:r w:rsidRPr="005D33A4">
        <w:rPr>
          <w:b/>
          <w:bCs/>
          <w:lang w:val="en-AU" w:eastAsia="zh-CN"/>
        </w:rPr>
        <w:t>Dispatch Strategy Optimisation</w:t>
      </w:r>
      <w:r w:rsidRPr="005D33A4">
        <w:rPr>
          <w:lang w:val="en-AU" w:eastAsia="zh-CN"/>
        </w:rPr>
        <w:t xml:space="preserve">: We evaluated three energy dispatch strategies—Cycle Charging (CC), Load Following (LF), and Predictive Dispatch (PD). The CC strategy operates generators at full capacity with excess power charging batteries. The LF strategy meets only immediate demand, while the PD strategy forecasts </w:t>
      </w:r>
      <w:r w:rsidRPr="005D33A4">
        <w:rPr>
          <w:lang w:val="en-AU" w:eastAsia="zh-CN"/>
        </w:rPr>
        <w:t>demand</w:t>
      </w:r>
      <w:r w:rsidRPr="005D33A4">
        <w:rPr>
          <w:lang w:val="en-AU" w:eastAsia="zh-CN"/>
        </w:rPr>
        <w:t xml:space="preserve"> and optimises battery use. This phase aimed to determine the most cost-effective strategy, focusing on LCOE, renewable penetration, and battery management.</w:t>
      </w:r>
    </w:p>
    <w:p w14:paraId="290C5821" w14:textId="77777777" w:rsidR="005D33A4" w:rsidRPr="005D33A4" w:rsidRDefault="005D33A4" w:rsidP="004006AF">
      <w:pPr>
        <w:rPr>
          <w:lang w:val="en-AU" w:eastAsia="zh-CN"/>
        </w:rPr>
      </w:pPr>
      <w:r w:rsidRPr="005D33A4">
        <w:rPr>
          <w:b/>
          <w:bCs/>
          <w:lang w:val="en-AU" w:eastAsia="zh-CN"/>
        </w:rPr>
        <w:t>Demand-Side Flexibility Optimisation</w:t>
      </w:r>
      <w:r w:rsidRPr="005D33A4">
        <w:rPr>
          <w:lang w:val="en-AU" w:eastAsia="zh-CN"/>
        </w:rPr>
        <w:t>: We introduced a deferrable load component (20% of total load) to allow consumption adjustments based on demand. This flexibility helps reduce the need for full-capacity operation and lowers installed capacity requirements. The goal was to enhance system efficiency and economic performance by aligning energy consumption with availability and minimising operational costs.</w:t>
      </w:r>
    </w:p>
    <w:p w14:paraId="599DC267" w14:textId="11F2AC01" w:rsidR="005D33A4" w:rsidRDefault="005D33A4" w:rsidP="004006AF">
      <w:pPr>
        <w:rPr>
          <w:lang w:val="en-AU" w:eastAsia="zh-CN"/>
        </w:rPr>
      </w:pPr>
      <w:r w:rsidRPr="005D33A4">
        <w:rPr>
          <w:lang w:val="en-AU" w:eastAsia="zh-CN"/>
        </w:rPr>
        <w:t>Fig</w:t>
      </w:r>
      <w:r>
        <w:rPr>
          <w:lang w:val="en-AU" w:eastAsia="zh-CN"/>
        </w:rPr>
        <w:t>ure 2</w:t>
      </w:r>
      <w:r w:rsidRPr="005D33A4">
        <w:rPr>
          <w:lang w:val="en-AU" w:eastAsia="zh-CN"/>
        </w:rPr>
        <w:t xml:space="preserve"> illustrates the techno-economic optimisation process for the hybrid microgrid system.</w:t>
      </w:r>
    </w:p>
    <w:p w14:paraId="4CF5C284" w14:textId="301B16C9" w:rsidR="00025AC8" w:rsidRDefault="005511D1" w:rsidP="004006AF">
      <w:pPr>
        <w:pStyle w:val="Figure"/>
        <w:rPr>
          <w:lang w:val="en-AU" w:eastAsia="zh-CN"/>
        </w:rPr>
      </w:pPr>
      <w:r w:rsidRPr="005511D1">
        <w:rPr>
          <w:lang w:val="en-AU" w:eastAsia="zh-CN"/>
        </w:rPr>
        <w:drawing>
          <wp:inline distT="0" distB="0" distL="0" distR="0" wp14:anchorId="1A45F80F" wp14:editId="3AB06C3A">
            <wp:extent cx="2712752" cy="3717985"/>
            <wp:effectExtent l="0" t="0" r="0" b="0"/>
            <wp:docPr id="212507581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5814" name="Picture 1" descr="A diagram of a process&#10;&#10;Description automatically generated"/>
                    <pic:cNvPicPr/>
                  </pic:nvPicPr>
                  <pic:blipFill>
                    <a:blip r:embed="rId9"/>
                    <a:stretch>
                      <a:fillRect/>
                    </a:stretch>
                  </pic:blipFill>
                  <pic:spPr>
                    <a:xfrm>
                      <a:off x="0" y="0"/>
                      <a:ext cx="2736237" cy="3750173"/>
                    </a:xfrm>
                    <a:prstGeom prst="rect">
                      <a:avLst/>
                    </a:prstGeom>
                  </pic:spPr>
                </pic:pic>
              </a:graphicData>
            </a:graphic>
          </wp:inline>
        </w:drawing>
      </w:r>
    </w:p>
    <w:p w14:paraId="0D1C84EC" w14:textId="6C7DE4AD" w:rsidR="00025AC8" w:rsidRPr="005D33A4" w:rsidRDefault="00025AC8" w:rsidP="009C061E">
      <w:pPr>
        <w:spacing w:before="100" w:beforeAutospacing="1" w:after="100" w:afterAutospacing="1"/>
        <w:rPr>
          <w:rFonts w:ascii="Times New Roman" w:eastAsia="Times New Roman" w:hAnsi="Times New Roman"/>
          <w:bCs/>
          <w:sz w:val="24"/>
          <w:lang w:val="en-AU" w:eastAsia="zh-CN"/>
        </w:rPr>
      </w:pPr>
      <w:r w:rsidRPr="007C679E">
        <w:rPr>
          <w:b/>
          <w:lang w:val="en-GB"/>
        </w:rPr>
        <w:t>Fig</w:t>
      </w:r>
      <w:r>
        <w:rPr>
          <w:b/>
          <w:lang w:val="en-GB"/>
        </w:rPr>
        <w:t>ure</w:t>
      </w:r>
      <w:r w:rsidRPr="007C679E">
        <w:rPr>
          <w:b/>
          <w:lang w:val="en-GB"/>
        </w:rPr>
        <w:t xml:space="preserve"> </w:t>
      </w:r>
      <w:r>
        <w:rPr>
          <w:b/>
          <w:lang w:val="en-GB"/>
        </w:rPr>
        <w:t xml:space="preserve">2. </w:t>
      </w:r>
      <w:r w:rsidR="005511D1">
        <w:rPr>
          <w:bCs/>
          <w:lang w:val="en-GB"/>
        </w:rPr>
        <w:t>Summary of the methods used in the optimisation process of the hybrid microgrid model.</w:t>
      </w:r>
    </w:p>
    <w:p w14:paraId="5A35D1FE" w14:textId="1AE27AF9" w:rsidR="005511D1" w:rsidRDefault="005511D1" w:rsidP="005511D1">
      <w:pPr>
        <w:pStyle w:val="Heading1"/>
      </w:pPr>
      <w:r>
        <w:lastRenderedPageBreak/>
        <w:t>3</w:t>
      </w:r>
      <w:r>
        <w:t>.</w:t>
      </w:r>
      <w:r>
        <w:t xml:space="preserve"> Results</w:t>
      </w:r>
    </w:p>
    <w:p w14:paraId="5D5F88D5" w14:textId="5895E977" w:rsidR="00EC4AF1" w:rsidRDefault="00A26C29" w:rsidP="00EC4AF1">
      <w:pPr>
        <w:pStyle w:val="BodyText"/>
        <w:rPr>
          <w:lang w:val="en-GB"/>
        </w:rPr>
      </w:pPr>
      <w:r w:rsidRPr="00A26C29">
        <w:rPr>
          <w:lang w:val="en-GB"/>
        </w:rPr>
        <w:t>The results of the study show that the optimal renewable energy penetration rate for hybrid microgrids is around 80%. Analysis using the 2D histogram (Figure 3) demonstrates that the LCOE decreases as renewable energy penetration increases, reaching its lowest point at approximately 80% penetration. Beyond this threshold, the LCOE begins to rise due to the additional battery storage required. The data reveals that an 80% renewable energy penetration provides the lowest LCOE (~$0.32/kWh) and is the most frequently occurring optimal solution across all copper deposit locations.</w:t>
      </w:r>
    </w:p>
    <w:p w14:paraId="353D49EF" w14:textId="77777777" w:rsidR="00A26C29" w:rsidRPr="00A26C29" w:rsidRDefault="00A26C29" w:rsidP="00A26C29">
      <w:pPr>
        <w:rPr>
          <w:lang w:val="en-AU" w:eastAsia="zh-CN"/>
        </w:rPr>
      </w:pPr>
      <w:r w:rsidRPr="00A26C29">
        <w:rPr>
          <w:lang w:val="en-AU" w:eastAsia="zh-CN"/>
        </w:rPr>
        <w:t>The final optimised hybrid microgrids, following the optimisation of dispatch strategy and demand-side flexibility, show significant reductions in annual carbon emissions compared to baseline diesel generators. The primary histogram (Fig. 11, green) indicates that most hybrid microgrids achieve emissions around 10,000 tonnes of CO2 per year, significantly lower than the baseline of 55,025 tonnes. The median normalised carbon emission for hybrid microgrids is 0.11 kg-CO2/kWh, reflecting an 84% reduction compared to diesel generators. The inset histogram (blue) shows a peak reduction of 80-85% in emissions, aligning with the optimal 80% renewable energy penetration identified earlier. This range demonstrates substantial emission reductions across the majority of hybrid microgrids, though some variability suggests potential for further optimisation.</w:t>
      </w:r>
    </w:p>
    <w:p w14:paraId="0B4A2C12" w14:textId="77777777" w:rsidR="00A26C29" w:rsidRPr="00A26C29" w:rsidRDefault="00A26C29" w:rsidP="00A26C29">
      <w:pPr>
        <w:rPr>
          <w:lang w:val="en-AU" w:eastAsia="zh-CN"/>
        </w:rPr>
      </w:pPr>
      <w:r w:rsidRPr="00A26C29">
        <w:rPr>
          <w:lang w:val="en-AU" w:eastAsia="zh-CN"/>
        </w:rPr>
        <w:t>Among dispatch strategies, Predictive Dispatch (PD) proved the most effective in improving the economic performance of hybrid microgrids. Additionally, incorporating a deferrable load to enable demand-side flexibility further enhanced economic outcomes by allowing better alignment of energy consumption with production.</w:t>
      </w:r>
    </w:p>
    <w:p w14:paraId="14BA0A48" w14:textId="77777777" w:rsidR="00A26C29" w:rsidRPr="00A26C29" w:rsidRDefault="00A26C29" w:rsidP="00EC4AF1">
      <w:pPr>
        <w:pStyle w:val="BodyText"/>
        <w:rPr>
          <w:lang w:val="en-AU"/>
        </w:rPr>
      </w:pPr>
    </w:p>
    <w:p w14:paraId="413E0624" w14:textId="1F5B9DE8" w:rsidR="005511D1" w:rsidRPr="005511D1" w:rsidRDefault="004F21D4" w:rsidP="007A1131">
      <w:pPr>
        <w:pStyle w:val="BodyText"/>
        <w:jc w:val="center"/>
        <w:rPr>
          <w:lang w:val="en-GB"/>
        </w:rPr>
      </w:pPr>
      <w:r>
        <w:rPr>
          <w:noProof/>
        </w:rPr>
        <w:drawing>
          <wp:inline distT="0" distB="0" distL="0" distR="0" wp14:anchorId="278D89E7" wp14:editId="131C4057">
            <wp:extent cx="4417200" cy="3124800"/>
            <wp:effectExtent l="0" t="0" r="2540" b="0"/>
            <wp:docPr id="571212843" name="Picture 6" descr="A green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2843" name="Picture 6" descr="A green and white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200" cy="3124800"/>
                    </a:xfrm>
                    <a:prstGeom prst="rect">
                      <a:avLst/>
                    </a:prstGeom>
                    <a:noFill/>
                    <a:ln>
                      <a:noFill/>
                    </a:ln>
                  </pic:spPr>
                </pic:pic>
              </a:graphicData>
            </a:graphic>
          </wp:inline>
        </w:drawing>
      </w:r>
    </w:p>
    <w:p w14:paraId="4AA02538" w14:textId="74CF8943" w:rsidR="00E321AD" w:rsidRPr="006A6F0F" w:rsidRDefault="009C061E" w:rsidP="006A6F0F">
      <w:pPr>
        <w:pStyle w:val="BodyText"/>
        <w:rPr>
          <w:lang w:val="en-AU"/>
        </w:rPr>
      </w:pPr>
      <w:r w:rsidRPr="007C679E">
        <w:rPr>
          <w:b/>
          <w:lang w:val="en-GB"/>
        </w:rPr>
        <w:t>Fig</w:t>
      </w:r>
      <w:r>
        <w:rPr>
          <w:b/>
          <w:lang w:val="en-GB"/>
        </w:rPr>
        <w:t>ure</w:t>
      </w:r>
      <w:r w:rsidRPr="007C679E">
        <w:rPr>
          <w:b/>
          <w:lang w:val="en-GB"/>
        </w:rPr>
        <w:t xml:space="preserve"> </w:t>
      </w:r>
      <w:r>
        <w:rPr>
          <w:b/>
          <w:lang w:val="en-GB"/>
        </w:rPr>
        <w:t xml:space="preserve">3. </w:t>
      </w:r>
      <w:r w:rsidRPr="009C061E">
        <w:rPr>
          <w:bCs/>
          <w:lang w:val="en-GB"/>
        </w:rPr>
        <w:t xml:space="preserve">The results of </w:t>
      </w:r>
      <w:r>
        <w:rPr>
          <w:bCs/>
          <w:lang w:val="en-GB"/>
        </w:rPr>
        <w:t xml:space="preserve">the final optimised </w:t>
      </w:r>
      <w:r w:rsidRPr="009C061E">
        <w:rPr>
          <w:bCs/>
          <w:lang w:val="en-GB"/>
        </w:rPr>
        <w:t>hybrid microgrids simulated at all copper deposits across Australia. Where the x-axis represents the renewable energy penetration, the y-axis represents the LCOE, and the colour bar represents the number of copper deposits.</w:t>
      </w:r>
    </w:p>
    <w:p w14:paraId="214083B4" w14:textId="1CA409A0" w:rsidR="001908CC" w:rsidRPr="007C679E" w:rsidRDefault="006A6F0F" w:rsidP="006A6F0F">
      <w:pPr>
        <w:pStyle w:val="NoSpacing"/>
        <w:jc w:val="center"/>
        <w:rPr>
          <w:lang w:val="en-GB"/>
        </w:rPr>
      </w:pPr>
      <w:r>
        <w:rPr>
          <w:noProof/>
        </w:rPr>
        <w:lastRenderedPageBreak/>
        <w:drawing>
          <wp:inline distT="0" distB="0" distL="0" distR="0" wp14:anchorId="15FD55AB" wp14:editId="4F4D3D86">
            <wp:extent cx="4539600" cy="3117600"/>
            <wp:effectExtent l="0" t="0" r="0" b="6985"/>
            <wp:docPr id="1332886259"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86259" name="Picture 5" descr="A graph of 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600" cy="3117600"/>
                    </a:xfrm>
                    <a:prstGeom prst="rect">
                      <a:avLst/>
                    </a:prstGeom>
                    <a:noFill/>
                    <a:ln>
                      <a:noFill/>
                    </a:ln>
                  </pic:spPr>
                </pic:pic>
              </a:graphicData>
            </a:graphic>
          </wp:inline>
        </w:drawing>
      </w:r>
    </w:p>
    <w:p w14:paraId="744C3EAD" w14:textId="524EC9FE" w:rsidR="001908CC" w:rsidRPr="006A6F0F" w:rsidRDefault="006A6F0F" w:rsidP="006A6F0F">
      <w:pPr>
        <w:pStyle w:val="BodyText"/>
        <w:rPr>
          <w:bCs/>
          <w:lang w:val="en-GB"/>
        </w:rPr>
      </w:pPr>
      <w:r w:rsidRPr="007C679E">
        <w:rPr>
          <w:b/>
          <w:lang w:val="en-GB"/>
        </w:rPr>
        <w:t>Fig</w:t>
      </w:r>
      <w:r>
        <w:rPr>
          <w:b/>
          <w:lang w:val="en-GB"/>
        </w:rPr>
        <w:t>ure</w:t>
      </w:r>
      <w:r w:rsidRPr="007C679E">
        <w:rPr>
          <w:b/>
          <w:lang w:val="en-GB"/>
        </w:rPr>
        <w:t xml:space="preserve"> </w:t>
      </w:r>
      <w:r>
        <w:rPr>
          <w:b/>
          <w:lang w:val="en-GB"/>
        </w:rPr>
        <w:t>4</w:t>
      </w:r>
      <w:r>
        <w:rPr>
          <w:b/>
          <w:lang w:val="en-GB"/>
        </w:rPr>
        <w:t>.</w:t>
      </w:r>
      <w:r>
        <w:rPr>
          <w:b/>
          <w:lang w:val="en-GB"/>
        </w:rPr>
        <w:t xml:space="preserve"> </w:t>
      </w:r>
      <w:r w:rsidRPr="006A6F0F">
        <w:rPr>
          <w:bCs/>
          <w:lang w:val="en-GB"/>
        </w:rPr>
        <w:t>Final optimised hybrid microgrids carbon emission profiles: The primary histogram (green) shows the annual carbon emissions from optimised hybrid microgrids across all Australian copper deposits. The inset (blue) shows the reduction in emissions compared to baseline diesel generators.</w:t>
      </w:r>
    </w:p>
    <w:p w14:paraId="0B83EBCB" w14:textId="728E31B7" w:rsidR="00A26C29" w:rsidRDefault="00A26C29" w:rsidP="00A26C29">
      <w:pPr>
        <w:pStyle w:val="Heading1"/>
      </w:pPr>
      <w:r>
        <w:t>4</w:t>
      </w:r>
      <w:r>
        <w:t xml:space="preserve">. </w:t>
      </w:r>
      <w:r>
        <w:t>Conclusion</w:t>
      </w:r>
    </w:p>
    <w:p w14:paraId="419480AC" w14:textId="1C054F61" w:rsidR="00B02FBF" w:rsidRDefault="00B02FBF" w:rsidP="00B02FBF">
      <w:pPr>
        <w:pStyle w:val="BodyText"/>
      </w:pPr>
      <w:r>
        <w:t>The study highlights the significant potential of optimised hybrid microgrids in reducing carbon emissions and lowering energy costs for copper ore processing in Australia. The optimal renewable energy penetration rate is around 80%, where hybrid microgrids achieve the lowest LCOE and significant emission reductions. The Predictive Dispatch strategy, combined with demand-side flexibility through deferrable loads, further enhances economic performance. These findings support the transition towards more sustainable and decarbonised copper mining operations, emphasising the need for continued optimisation and potential integration of additional low-carbon technologies to maximise benefits</w:t>
      </w:r>
      <w:r>
        <w:t>.</w:t>
      </w:r>
    </w:p>
    <w:p w14:paraId="491655DB" w14:textId="31DB82E0" w:rsidR="00B02FBF" w:rsidRDefault="00B02FBF" w:rsidP="00B02FBF">
      <w:pPr>
        <w:pStyle w:val="Heading1"/>
      </w:pPr>
      <w:r>
        <w:t xml:space="preserve">4. </w:t>
      </w:r>
      <w:r>
        <w:t>References</w:t>
      </w:r>
    </w:p>
    <w:p w14:paraId="7E073C02" w14:textId="5653FBCB" w:rsidR="00B02FBF" w:rsidRPr="00B02FBF" w:rsidRDefault="00B02FBF" w:rsidP="00B02FBF">
      <w:pPr>
        <w:pStyle w:val="Bibliography"/>
        <w:ind w:left="360" w:hanging="360"/>
        <w:rPr>
          <w:rFonts w:cs="Arial"/>
        </w:rPr>
      </w:pPr>
      <w:r>
        <w:rPr>
          <w:lang w:val="en-GB"/>
        </w:rPr>
        <w:fldChar w:fldCharType="begin"/>
      </w:r>
      <w:r>
        <w:rPr>
          <w:lang w:val="en-GB"/>
        </w:rPr>
        <w:instrText xml:space="preserve"> ADDIN ZOTERO_BIBL {"uncited":[],"omitted":[],"custom":[]} CSL_BIBLIOGRAPHY </w:instrText>
      </w:r>
      <w:r>
        <w:rPr>
          <w:lang w:val="en-GB"/>
        </w:rPr>
        <w:fldChar w:fldCharType="separate"/>
      </w:r>
      <w:r w:rsidRPr="00B02FBF">
        <w:rPr>
          <w:rFonts w:cs="Arial"/>
        </w:rPr>
        <w:t>Champion, D., Raymond, O., Huston, D., VanDerWielen, S., Sexton, M., Bastrakov, E., Schroder, I., Butcher, G., Hawkins, S., J Lane, McAlpine, S., Czarnota, K., Britt, A., Granitto, M., Hofstra, A., Kreiner, D., Emsbo, P., Kelley, K., Wang, B., Case, G., Lauzière, K., Lawley, C., Gadd, M., Pilote, J.-L., Létourneau, F., Lisitsin, V., Haji Egeh, A., 2021. Critical Minerals in Ores - geochemistry database. Geoscience Australia, Canberra</w:t>
      </w:r>
      <w:r>
        <w:rPr>
          <w:rFonts w:cs="Arial"/>
        </w:rPr>
        <w:t xml:space="preserve">. </w:t>
      </w:r>
      <w:r w:rsidRPr="00B02FBF">
        <w:rPr>
          <w:rFonts w:cs="Arial"/>
        </w:rPr>
        <w:t>https://pid.geoscience.gov.au/dataset/ga/145496</w:t>
      </w:r>
    </w:p>
    <w:p w14:paraId="76962224" w14:textId="77777777" w:rsidR="00B02FBF" w:rsidRPr="00B02FBF" w:rsidRDefault="00B02FBF" w:rsidP="00B02FBF">
      <w:pPr>
        <w:pStyle w:val="Bibliography"/>
        <w:ind w:left="360" w:hanging="360"/>
        <w:rPr>
          <w:rFonts w:cs="Arial"/>
        </w:rPr>
      </w:pPr>
      <w:r w:rsidRPr="00B02FBF">
        <w:rPr>
          <w:rFonts w:cs="Arial"/>
        </w:rPr>
        <w:t>Ellabban, O., Alassi, A., 2021. Optimal hybrid microgrid sizing framework for the mining industry with three case studies from Australia. IET Renewable Power Generation 15, 409–423. https://doi.org/10.1049/rpg2.12038</w:t>
      </w:r>
    </w:p>
    <w:p w14:paraId="78A8C45F" w14:textId="75805755" w:rsidR="00B02FBF" w:rsidRPr="00B02FBF" w:rsidRDefault="00B02FBF" w:rsidP="00B02FBF">
      <w:pPr>
        <w:pStyle w:val="Bibliography"/>
        <w:ind w:left="360" w:hanging="360"/>
        <w:rPr>
          <w:rFonts w:cs="Arial"/>
        </w:rPr>
      </w:pPr>
      <w:r w:rsidRPr="00B02FBF">
        <w:rPr>
          <w:rFonts w:cs="Arial"/>
        </w:rPr>
        <w:t>Gilmore, N., Koskinen, I., van Gennip, D., Paget, G., Burr, P.A., Obbard, E.G., Daiyan, R., Sproul, A., Kay, M., Lennon, A., Konstantinou, G., Hemer, M., Gui, E.M., Gurieff, N., 2022. Clean energy futures: An Australian based foresight study. Energy 260, 125089.</w:t>
      </w:r>
      <w:r>
        <w:rPr>
          <w:rFonts w:cs="Arial"/>
        </w:rPr>
        <w:t xml:space="preserve"> </w:t>
      </w:r>
      <w:r w:rsidRPr="00B02FBF">
        <w:rPr>
          <w:rFonts w:cs="Arial"/>
        </w:rPr>
        <w:t>https://doi.org/10.1016/j.energy.2022.125089</w:t>
      </w:r>
    </w:p>
    <w:p w14:paraId="7D82761B" w14:textId="77777777" w:rsidR="00B02FBF" w:rsidRPr="00B02FBF" w:rsidRDefault="00B02FBF" w:rsidP="00B02FBF">
      <w:pPr>
        <w:pStyle w:val="Bibliography"/>
        <w:ind w:left="360" w:hanging="360"/>
        <w:rPr>
          <w:rFonts w:cs="Arial"/>
        </w:rPr>
      </w:pPr>
      <w:r w:rsidRPr="00B02FBF">
        <w:rPr>
          <w:rFonts w:cs="Arial"/>
        </w:rPr>
        <w:t xml:space="preserve">Huang, H., Ata, S., Rougieux, F., Kay, M., 2024. Decarbonising Mining of Australia’s Critical Mineral Deposits: Opportunities for Sustainable Mining through Solar Photovoltaics and Wind </w:t>
      </w:r>
      <w:r w:rsidRPr="00B02FBF">
        <w:rPr>
          <w:rFonts w:cs="Arial"/>
        </w:rPr>
        <w:lastRenderedPageBreak/>
        <w:t>Energy Integration. Journal of Cleaner Production 142300. https://doi.org/10.1016/j.jclepro.2024.142300</w:t>
      </w:r>
    </w:p>
    <w:p w14:paraId="10F9E4EB" w14:textId="77777777" w:rsidR="00B02FBF" w:rsidRPr="00B02FBF" w:rsidRDefault="00B02FBF" w:rsidP="00B02FBF">
      <w:pPr>
        <w:pStyle w:val="Bibliography"/>
        <w:ind w:left="360" w:hanging="360"/>
        <w:rPr>
          <w:rFonts w:cs="Arial"/>
        </w:rPr>
      </w:pPr>
      <w:r w:rsidRPr="00B02FBF">
        <w:rPr>
          <w:rFonts w:cs="Arial"/>
        </w:rPr>
        <w:t>Igogo, T., Awuah-Offei, K., Newman, A., Lowder, T., Engel-Cox, J., 2021. Integrating renewable energy into mining operations: Opportunities, challenges, and enabling approaches. Applied Energy 300, 117375. https://doi.org/10.1016/j.apenergy.2021.117375</w:t>
      </w:r>
    </w:p>
    <w:p w14:paraId="5DCFCFA1" w14:textId="77777777" w:rsidR="00B02FBF" w:rsidRPr="00B02FBF" w:rsidRDefault="00B02FBF" w:rsidP="00B02FBF">
      <w:pPr>
        <w:pStyle w:val="Bibliography"/>
        <w:ind w:left="360" w:hanging="360"/>
        <w:rPr>
          <w:rFonts w:cs="Arial"/>
        </w:rPr>
      </w:pPr>
      <w:r w:rsidRPr="00B02FBF">
        <w:rPr>
          <w:rFonts w:cs="Arial"/>
        </w:rPr>
        <w:t>Kim, T.-Y., Gould, T., 2021. The Role of Critical Minerals in Clean Energy Transitions – Analysis [WWW Document]. World Energy Outlook - IEA. URL https://www.iea.org/reports/the-role-of-critical-minerals-in-clean-energy-transitions</w:t>
      </w:r>
    </w:p>
    <w:p w14:paraId="085D3F8A" w14:textId="09FB677F" w:rsidR="00B02FBF" w:rsidRPr="00B02FBF" w:rsidRDefault="00B02FBF" w:rsidP="00B02FBF">
      <w:pPr>
        <w:pStyle w:val="Bibliography"/>
        <w:ind w:left="360" w:hanging="360"/>
        <w:rPr>
          <w:rFonts w:cs="Arial"/>
        </w:rPr>
      </w:pPr>
      <w:r w:rsidRPr="00B02FBF">
        <w:rPr>
          <w:rFonts w:cs="Arial"/>
        </w:rPr>
        <w:t>Mirzaeva, G., Miller, D., 2022. DC and AC Microgrids for Mining Applications, in: 2022 IEEE IAS Petroleum and Chemical Industry Technical Conference (PCIC)</w:t>
      </w:r>
      <w:r>
        <w:rPr>
          <w:rFonts w:cs="Arial"/>
        </w:rPr>
        <w:t xml:space="preserve">, </w:t>
      </w:r>
      <w:r w:rsidRPr="00B02FBF">
        <w:rPr>
          <w:rFonts w:cs="Arial"/>
        </w:rPr>
        <w:t>pp. 533–541. https://doi.org/10.1109/PCIC42668.2022.10181290</w:t>
      </w:r>
    </w:p>
    <w:p w14:paraId="7C5B41C2" w14:textId="77777777" w:rsidR="00B02FBF" w:rsidRPr="00B02FBF" w:rsidRDefault="00B02FBF" w:rsidP="00B02FBF">
      <w:pPr>
        <w:pStyle w:val="Bibliography"/>
        <w:ind w:left="360" w:hanging="360"/>
        <w:rPr>
          <w:rFonts w:cs="Arial"/>
        </w:rPr>
      </w:pPr>
      <w:r w:rsidRPr="00B02FBF">
        <w:rPr>
          <w:rFonts w:cs="Arial"/>
        </w:rPr>
        <w:t>Moreno-Leiva, S., Haas, J., Junne, T., Valencia, F., Godin, H., Kracht, W., Nowak, W., Eltrop, L., 2020. Renewable energy in copper production: A review on systems design and methodological approaches. Journal of Cleaner Production 246, 118978. https://doi.org/10.1016/j.jclepro.2019.118978</w:t>
      </w:r>
    </w:p>
    <w:p w14:paraId="53F6AB42" w14:textId="77777777" w:rsidR="00B02FBF" w:rsidRPr="00B02FBF" w:rsidRDefault="00B02FBF" w:rsidP="00B02FBF">
      <w:pPr>
        <w:pStyle w:val="Bibliography"/>
        <w:ind w:left="360" w:hanging="360"/>
        <w:rPr>
          <w:rFonts w:cs="Arial"/>
        </w:rPr>
      </w:pPr>
      <w:r w:rsidRPr="00B02FBF">
        <w:rPr>
          <w:rFonts w:cs="Arial"/>
        </w:rPr>
        <w:t>Strazzabosco, A., Gruenhagen, J.H., Cox, S., 2022. A review of renewable energy practices in the Australian mining industry. Renewable Energy 187, 135–143. https://doi.org/10.1016/j.renene.2022.01.021</w:t>
      </w:r>
    </w:p>
    <w:p w14:paraId="3914DF84" w14:textId="77777777" w:rsidR="00B02FBF" w:rsidRPr="00B02FBF" w:rsidRDefault="00B02FBF" w:rsidP="00B02FBF">
      <w:pPr>
        <w:pStyle w:val="Bibliography"/>
        <w:ind w:left="360" w:hanging="360"/>
        <w:rPr>
          <w:rFonts w:cs="Arial"/>
        </w:rPr>
      </w:pPr>
      <w:r w:rsidRPr="00B02FBF">
        <w:rPr>
          <w:rFonts w:cs="Arial"/>
        </w:rPr>
        <w:t>Wang, C., Nadolski, S., Mejia, O., Drozdiak, J., Klein, B., 2013. Energy and Cost Comparisons of HPGR Based Circuits with the SABC Circuit Installed at the Huckleberry Mine 16.</w:t>
      </w:r>
    </w:p>
    <w:p w14:paraId="70CF8AF0" w14:textId="77777777" w:rsidR="00B02FBF" w:rsidRPr="00B02FBF" w:rsidRDefault="00B02FBF" w:rsidP="00B02FBF">
      <w:pPr>
        <w:pStyle w:val="Bibliography"/>
        <w:ind w:left="360" w:hanging="360"/>
        <w:rPr>
          <w:rFonts w:cs="Arial"/>
        </w:rPr>
      </w:pPr>
      <w:r w:rsidRPr="00B02FBF">
        <w:rPr>
          <w:rFonts w:cs="Arial"/>
        </w:rPr>
        <w:t>Zhang, W., 2016. Optimizing Performance of SABC Comminution Circuit of the Wushan Porphyry Copper Mine—A Practical Approach. Minerals 6, 127. https://doi.org/10.3390/min6040127</w:t>
      </w:r>
    </w:p>
    <w:p w14:paraId="10D3A468" w14:textId="2875D57C" w:rsidR="00B02FBF" w:rsidRPr="00B02FBF" w:rsidRDefault="00B02FBF" w:rsidP="00B02FBF">
      <w:pPr>
        <w:pStyle w:val="BodyText"/>
        <w:ind w:left="360" w:hanging="360"/>
        <w:rPr>
          <w:lang w:val="en-GB"/>
        </w:rPr>
      </w:pPr>
      <w:r>
        <w:rPr>
          <w:lang w:val="en-GB"/>
        </w:rPr>
        <w:fldChar w:fldCharType="end"/>
      </w:r>
    </w:p>
    <w:p w14:paraId="5DD195DD" w14:textId="75896AAE" w:rsidR="00B02FBF" w:rsidRPr="00B02FBF" w:rsidRDefault="00B02FBF" w:rsidP="00B02FBF">
      <w:pPr>
        <w:pStyle w:val="BodyText"/>
        <w:rPr>
          <w:lang w:val="en-GB"/>
        </w:rPr>
      </w:pPr>
    </w:p>
    <w:p w14:paraId="1AB30F18" w14:textId="77777777" w:rsidR="001908CC" w:rsidRPr="006A6F0F" w:rsidRDefault="001908CC" w:rsidP="00854E01">
      <w:pPr>
        <w:pStyle w:val="BodyText"/>
        <w:jc w:val="center"/>
        <w:rPr>
          <w:bCs/>
          <w:lang w:val="en-GB"/>
        </w:rPr>
      </w:pPr>
    </w:p>
    <w:p w14:paraId="35F74711" w14:textId="77777777" w:rsidR="001908CC" w:rsidRPr="006A6F0F" w:rsidRDefault="001908CC" w:rsidP="00854E01">
      <w:pPr>
        <w:pStyle w:val="BodyText"/>
        <w:jc w:val="center"/>
        <w:rPr>
          <w:bCs/>
          <w:lang w:val="en-GB"/>
        </w:rPr>
      </w:pPr>
    </w:p>
    <w:p w14:paraId="21948A08" w14:textId="77777777" w:rsidR="001908CC" w:rsidRDefault="001908CC" w:rsidP="00854E01">
      <w:pPr>
        <w:pStyle w:val="BodyText"/>
        <w:jc w:val="center"/>
        <w:rPr>
          <w:lang w:val="en-GB"/>
        </w:rPr>
      </w:pPr>
    </w:p>
    <w:bookmarkEnd w:id="0"/>
    <w:p w14:paraId="58E08CF4" w14:textId="77777777" w:rsidR="00B4286A" w:rsidRDefault="00B4286A" w:rsidP="00A75839">
      <w:pPr>
        <w:spacing w:before="0"/>
        <w:jc w:val="both"/>
        <w:rPr>
          <w:rFonts w:cs="Arial"/>
          <w:szCs w:val="22"/>
          <w:lang w:val="en-GB" w:bidi="en-US"/>
        </w:rPr>
      </w:pPr>
    </w:p>
    <w:p w14:paraId="595B419C" w14:textId="77777777" w:rsidR="00B4286A" w:rsidRDefault="00B4286A" w:rsidP="00A75839">
      <w:pPr>
        <w:spacing w:before="0"/>
        <w:jc w:val="both"/>
        <w:rPr>
          <w:rFonts w:cs="Arial"/>
          <w:szCs w:val="22"/>
          <w:lang w:val="en-GB" w:bidi="en-US"/>
        </w:rPr>
      </w:pPr>
    </w:p>
    <w:p w14:paraId="5D801A28" w14:textId="77777777" w:rsidR="00B4286A" w:rsidRDefault="00B4286A" w:rsidP="00A75839">
      <w:pPr>
        <w:spacing w:before="0"/>
        <w:jc w:val="both"/>
        <w:rPr>
          <w:rFonts w:cs="Arial"/>
          <w:szCs w:val="22"/>
          <w:lang w:val="en-GB" w:bidi="en-US"/>
        </w:rPr>
      </w:pPr>
    </w:p>
    <w:p w14:paraId="24CBF682" w14:textId="77777777" w:rsidR="00B4286A" w:rsidRDefault="00B4286A" w:rsidP="00A75839">
      <w:pPr>
        <w:spacing w:before="0"/>
        <w:jc w:val="both"/>
        <w:rPr>
          <w:rFonts w:cs="Arial"/>
          <w:szCs w:val="22"/>
          <w:lang w:val="en-GB" w:bidi="en-US"/>
        </w:rPr>
      </w:pPr>
    </w:p>
    <w:p w14:paraId="3FE1A1E4" w14:textId="77777777" w:rsidR="00B4286A" w:rsidRDefault="00B4286A" w:rsidP="00A75839">
      <w:pPr>
        <w:spacing w:before="0"/>
        <w:jc w:val="both"/>
        <w:rPr>
          <w:lang w:val="en-GB" w:bidi="en-US"/>
        </w:rPr>
      </w:pPr>
    </w:p>
    <w:sectPr w:rsidR="00B4286A" w:rsidSect="002F6641">
      <w:headerReference w:type="default" r:id="rId12"/>
      <w:pgSz w:w="11907" w:h="16840" w:code="9"/>
      <w:pgMar w:top="1418" w:right="1134" w:bottom="1134" w:left="1134" w:header="45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FE662" w14:textId="77777777" w:rsidR="007F509D" w:rsidRDefault="007F509D" w:rsidP="007C41ED">
      <w:r>
        <w:separator/>
      </w:r>
    </w:p>
  </w:endnote>
  <w:endnote w:type="continuationSeparator" w:id="0">
    <w:p w14:paraId="583EAECE" w14:textId="77777777" w:rsidR="007F509D" w:rsidRDefault="007F509D" w:rsidP="007C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D6BE9" w14:textId="77777777" w:rsidR="007F509D" w:rsidRDefault="007F509D" w:rsidP="007C41ED">
      <w:r>
        <w:separator/>
      </w:r>
    </w:p>
  </w:footnote>
  <w:footnote w:type="continuationSeparator" w:id="0">
    <w:p w14:paraId="7D3696A9" w14:textId="77777777" w:rsidR="007F509D" w:rsidRDefault="007F509D" w:rsidP="007C4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09"/>
      <w:gridCol w:w="4730"/>
    </w:tblGrid>
    <w:tr w:rsidR="006F4A7F" w14:paraId="774B349A" w14:textId="77777777" w:rsidTr="00E87206">
      <w:tc>
        <w:tcPr>
          <w:tcW w:w="4981" w:type="dxa"/>
        </w:tcPr>
        <w:p w14:paraId="2356B6E8" w14:textId="77777777" w:rsidR="006F4A7F" w:rsidRDefault="006F4A7F" w:rsidP="006F4A7F">
          <w:pPr>
            <w:spacing w:before="0"/>
          </w:pPr>
          <w:r>
            <w:rPr>
              <w:noProof/>
              <w:lang w:val="en-US" w:eastAsia="en-US"/>
            </w:rPr>
            <w:drawing>
              <wp:inline distT="0" distB="0" distL="0" distR="0" wp14:anchorId="4C0BCD58" wp14:editId="7BD1856D">
                <wp:extent cx="2371061" cy="6642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0334" cy="697650"/>
                        </a:xfrm>
                        <a:prstGeom prst="rect">
                          <a:avLst/>
                        </a:prstGeom>
                        <a:noFill/>
                        <a:ln>
                          <a:noFill/>
                        </a:ln>
                      </pic:spPr>
                    </pic:pic>
                  </a:graphicData>
                </a:graphic>
              </wp:inline>
            </w:drawing>
          </w:r>
        </w:p>
      </w:tc>
      <w:tc>
        <w:tcPr>
          <w:tcW w:w="4981" w:type="dxa"/>
          <w:vAlign w:val="center"/>
        </w:tcPr>
        <w:p w14:paraId="15B5B771" w14:textId="1945CA78" w:rsidR="006F4A7F" w:rsidRPr="002F6641" w:rsidRDefault="00136E0D" w:rsidP="00D15F02">
          <w:pPr>
            <w:spacing w:before="0"/>
            <w:jc w:val="right"/>
            <w:rPr>
              <w:sz w:val="18"/>
              <w:szCs w:val="18"/>
            </w:rPr>
          </w:pPr>
          <w:r>
            <w:rPr>
              <w:sz w:val="18"/>
              <w:szCs w:val="18"/>
            </w:rPr>
            <w:t>3-5</w:t>
          </w:r>
          <w:r w:rsidR="002F558C">
            <w:rPr>
              <w:sz w:val="18"/>
              <w:szCs w:val="18"/>
            </w:rPr>
            <w:t xml:space="preserve"> Dec 202</w:t>
          </w:r>
          <w:r>
            <w:rPr>
              <w:sz w:val="18"/>
              <w:szCs w:val="18"/>
            </w:rPr>
            <w:t>4</w:t>
          </w:r>
          <w:r w:rsidR="00D15F02">
            <w:rPr>
              <w:sz w:val="18"/>
              <w:szCs w:val="18"/>
            </w:rPr>
            <w:t>,</w:t>
          </w:r>
          <w:r w:rsidR="006F4A7F" w:rsidRPr="002F6641">
            <w:rPr>
              <w:sz w:val="18"/>
              <w:szCs w:val="18"/>
            </w:rPr>
            <w:t xml:space="preserve"> </w:t>
          </w:r>
          <w:r>
            <w:rPr>
              <w:sz w:val="18"/>
              <w:szCs w:val="18"/>
            </w:rPr>
            <w:t>Sydney</w:t>
          </w:r>
        </w:p>
      </w:tc>
    </w:tr>
  </w:tbl>
  <w:p w14:paraId="1B2DEDE3" w14:textId="77777777" w:rsidR="006F4A7F" w:rsidRDefault="006F4A7F" w:rsidP="006F4A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DDE23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F320BF4"/>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0074BE2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A9082AD4"/>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C40226CA"/>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BB1A80F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B4968A"/>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AE82E48"/>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6C6770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1841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BE20D9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98581F"/>
    <w:multiLevelType w:val="hybridMultilevel"/>
    <w:tmpl w:val="EF3A42C6"/>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2" w15:restartNumberingAfterBreak="0">
    <w:nsid w:val="1EE15AF7"/>
    <w:multiLevelType w:val="hybridMultilevel"/>
    <w:tmpl w:val="6108DF66"/>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3" w15:restartNumberingAfterBreak="0">
    <w:nsid w:val="34316D4F"/>
    <w:multiLevelType w:val="hybridMultilevel"/>
    <w:tmpl w:val="89DEA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3F21B9"/>
    <w:multiLevelType w:val="hybridMultilevel"/>
    <w:tmpl w:val="76C84BB4"/>
    <w:lvl w:ilvl="0" w:tplc="16D42E1C">
      <w:start w:val="5"/>
      <w:numFmt w:val="bullet"/>
      <w:lvlText w:val="-"/>
      <w:lvlJc w:val="left"/>
      <w:pPr>
        <w:ind w:left="720" w:hanging="360"/>
      </w:pPr>
      <w:rPr>
        <w:rFonts w:ascii="Arial" w:eastAsia="MS Mincho"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92976"/>
    <w:multiLevelType w:val="multilevel"/>
    <w:tmpl w:val="8366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F44AA"/>
    <w:multiLevelType w:val="hybridMultilevel"/>
    <w:tmpl w:val="D8FA9A40"/>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7" w15:restartNumberingAfterBreak="0">
    <w:nsid w:val="7E351CFB"/>
    <w:multiLevelType w:val="hybridMultilevel"/>
    <w:tmpl w:val="93AA8D78"/>
    <w:lvl w:ilvl="0" w:tplc="0F82D3D4">
      <w:start w:val="1"/>
      <w:numFmt w:val="bullet"/>
      <w:lvlText w:val=""/>
      <w:lvlJc w:val="left"/>
      <w:pPr>
        <w:tabs>
          <w:tab w:val="num" w:pos="0"/>
        </w:tabs>
        <w:ind w:left="72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311064929">
    <w:abstractNumId w:val="17"/>
  </w:num>
  <w:num w:numId="2" w16cid:durableId="1483813426">
    <w:abstractNumId w:val="14"/>
  </w:num>
  <w:num w:numId="3" w16cid:durableId="868221916">
    <w:abstractNumId w:val="0"/>
  </w:num>
  <w:num w:numId="4" w16cid:durableId="990401621">
    <w:abstractNumId w:val="10"/>
  </w:num>
  <w:num w:numId="5" w16cid:durableId="1391077089">
    <w:abstractNumId w:val="8"/>
  </w:num>
  <w:num w:numId="6" w16cid:durableId="1437479080">
    <w:abstractNumId w:val="7"/>
  </w:num>
  <w:num w:numId="7" w16cid:durableId="491339751">
    <w:abstractNumId w:val="6"/>
  </w:num>
  <w:num w:numId="8" w16cid:durableId="1205950832">
    <w:abstractNumId w:val="5"/>
  </w:num>
  <w:num w:numId="9" w16cid:durableId="1365325352">
    <w:abstractNumId w:val="9"/>
  </w:num>
  <w:num w:numId="10" w16cid:durableId="450979876">
    <w:abstractNumId w:val="4"/>
  </w:num>
  <w:num w:numId="11" w16cid:durableId="1910845859">
    <w:abstractNumId w:val="3"/>
  </w:num>
  <w:num w:numId="12" w16cid:durableId="851916028">
    <w:abstractNumId w:val="2"/>
  </w:num>
  <w:num w:numId="13" w16cid:durableId="1135021582">
    <w:abstractNumId w:val="1"/>
  </w:num>
  <w:num w:numId="14" w16cid:durableId="955254814">
    <w:abstractNumId w:val="16"/>
  </w:num>
  <w:num w:numId="15" w16cid:durableId="1673340326">
    <w:abstractNumId w:val="13"/>
  </w:num>
  <w:num w:numId="16" w16cid:durableId="948463635">
    <w:abstractNumId w:val="12"/>
  </w:num>
  <w:num w:numId="17" w16cid:durableId="1574928243">
    <w:abstractNumId w:val="11"/>
  </w:num>
  <w:num w:numId="18" w16cid:durableId="7721652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F8"/>
    <w:rsid w:val="00007D43"/>
    <w:rsid w:val="00011CEA"/>
    <w:rsid w:val="00025AC8"/>
    <w:rsid w:val="00030F9B"/>
    <w:rsid w:val="000439E9"/>
    <w:rsid w:val="00046137"/>
    <w:rsid w:val="00063429"/>
    <w:rsid w:val="00063CF8"/>
    <w:rsid w:val="0007436C"/>
    <w:rsid w:val="00077248"/>
    <w:rsid w:val="000819B1"/>
    <w:rsid w:val="000A36F2"/>
    <w:rsid w:val="000B1BEB"/>
    <w:rsid w:val="000C200A"/>
    <w:rsid w:val="000E6E1C"/>
    <w:rsid w:val="00101C82"/>
    <w:rsid w:val="00102EAC"/>
    <w:rsid w:val="001035A4"/>
    <w:rsid w:val="0010798D"/>
    <w:rsid w:val="0012403F"/>
    <w:rsid w:val="00126DD8"/>
    <w:rsid w:val="001274FC"/>
    <w:rsid w:val="00130670"/>
    <w:rsid w:val="00131E3D"/>
    <w:rsid w:val="00135B1C"/>
    <w:rsid w:val="00136E0D"/>
    <w:rsid w:val="001462DC"/>
    <w:rsid w:val="0014650D"/>
    <w:rsid w:val="00151E94"/>
    <w:rsid w:val="001908CC"/>
    <w:rsid w:val="001A2F73"/>
    <w:rsid w:val="001B57B5"/>
    <w:rsid w:val="001B7B80"/>
    <w:rsid w:val="001C39E1"/>
    <w:rsid w:val="001C54A8"/>
    <w:rsid w:val="001D32E0"/>
    <w:rsid w:val="001D4949"/>
    <w:rsid w:val="001D6329"/>
    <w:rsid w:val="001E6A0D"/>
    <w:rsid w:val="0020501E"/>
    <w:rsid w:val="002053AA"/>
    <w:rsid w:val="00226D2D"/>
    <w:rsid w:val="00232A66"/>
    <w:rsid w:val="002416BC"/>
    <w:rsid w:val="002455EC"/>
    <w:rsid w:val="00256A9F"/>
    <w:rsid w:val="002622BF"/>
    <w:rsid w:val="00264C29"/>
    <w:rsid w:val="00267BEE"/>
    <w:rsid w:val="0028016D"/>
    <w:rsid w:val="002838D1"/>
    <w:rsid w:val="002A07CB"/>
    <w:rsid w:val="002A2183"/>
    <w:rsid w:val="002B7CD2"/>
    <w:rsid w:val="002C6A44"/>
    <w:rsid w:val="002D3901"/>
    <w:rsid w:val="002D4245"/>
    <w:rsid w:val="002D5CA4"/>
    <w:rsid w:val="002F558C"/>
    <w:rsid w:val="002F6641"/>
    <w:rsid w:val="003015D8"/>
    <w:rsid w:val="00307E0B"/>
    <w:rsid w:val="00320C4E"/>
    <w:rsid w:val="003258A9"/>
    <w:rsid w:val="00325CEA"/>
    <w:rsid w:val="00342454"/>
    <w:rsid w:val="003432DE"/>
    <w:rsid w:val="003562A8"/>
    <w:rsid w:val="00356DB3"/>
    <w:rsid w:val="00372020"/>
    <w:rsid w:val="00375F94"/>
    <w:rsid w:val="00391F03"/>
    <w:rsid w:val="003A01EB"/>
    <w:rsid w:val="003A4C3A"/>
    <w:rsid w:val="003A558A"/>
    <w:rsid w:val="003B044C"/>
    <w:rsid w:val="003B1151"/>
    <w:rsid w:val="003D7AB2"/>
    <w:rsid w:val="003F78D0"/>
    <w:rsid w:val="004006AF"/>
    <w:rsid w:val="00436BBE"/>
    <w:rsid w:val="00440C52"/>
    <w:rsid w:val="00440D3A"/>
    <w:rsid w:val="004679FB"/>
    <w:rsid w:val="00481F79"/>
    <w:rsid w:val="00486164"/>
    <w:rsid w:val="004946C6"/>
    <w:rsid w:val="00496AFF"/>
    <w:rsid w:val="004A1BC9"/>
    <w:rsid w:val="004A5C4F"/>
    <w:rsid w:val="004A7996"/>
    <w:rsid w:val="004B2BAF"/>
    <w:rsid w:val="004C6BF2"/>
    <w:rsid w:val="004D7DAF"/>
    <w:rsid w:val="004E243A"/>
    <w:rsid w:val="004E5796"/>
    <w:rsid w:val="004F21D4"/>
    <w:rsid w:val="004F4EA5"/>
    <w:rsid w:val="005010FC"/>
    <w:rsid w:val="00501D00"/>
    <w:rsid w:val="00502BAA"/>
    <w:rsid w:val="005132D0"/>
    <w:rsid w:val="00513B1A"/>
    <w:rsid w:val="00514A76"/>
    <w:rsid w:val="00522A29"/>
    <w:rsid w:val="005261E4"/>
    <w:rsid w:val="005364CE"/>
    <w:rsid w:val="005511D1"/>
    <w:rsid w:val="00551512"/>
    <w:rsid w:val="00552703"/>
    <w:rsid w:val="005557F2"/>
    <w:rsid w:val="00582119"/>
    <w:rsid w:val="00582B32"/>
    <w:rsid w:val="00586577"/>
    <w:rsid w:val="005932F0"/>
    <w:rsid w:val="00596899"/>
    <w:rsid w:val="005977F0"/>
    <w:rsid w:val="005B06A4"/>
    <w:rsid w:val="005B1690"/>
    <w:rsid w:val="005B5E12"/>
    <w:rsid w:val="005C52AC"/>
    <w:rsid w:val="005C5CF5"/>
    <w:rsid w:val="005C6040"/>
    <w:rsid w:val="005D33A4"/>
    <w:rsid w:val="005D55D9"/>
    <w:rsid w:val="005D7D85"/>
    <w:rsid w:val="005E2F55"/>
    <w:rsid w:val="00602CC2"/>
    <w:rsid w:val="00604ED6"/>
    <w:rsid w:val="0060539A"/>
    <w:rsid w:val="00611DDC"/>
    <w:rsid w:val="006362B4"/>
    <w:rsid w:val="00636869"/>
    <w:rsid w:val="0064404D"/>
    <w:rsid w:val="00667F2D"/>
    <w:rsid w:val="0067204C"/>
    <w:rsid w:val="00677763"/>
    <w:rsid w:val="006812F3"/>
    <w:rsid w:val="006857F7"/>
    <w:rsid w:val="006864E9"/>
    <w:rsid w:val="00696CE4"/>
    <w:rsid w:val="006A4A01"/>
    <w:rsid w:val="006A6F0F"/>
    <w:rsid w:val="006A743D"/>
    <w:rsid w:val="006B796B"/>
    <w:rsid w:val="006C05DD"/>
    <w:rsid w:val="006E31A4"/>
    <w:rsid w:val="006E6C7B"/>
    <w:rsid w:val="006F4A7F"/>
    <w:rsid w:val="006F5740"/>
    <w:rsid w:val="006F7650"/>
    <w:rsid w:val="00704587"/>
    <w:rsid w:val="00713AAB"/>
    <w:rsid w:val="00715253"/>
    <w:rsid w:val="007209D8"/>
    <w:rsid w:val="0072247C"/>
    <w:rsid w:val="00731FEF"/>
    <w:rsid w:val="00734B63"/>
    <w:rsid w:val="0074296A"/>
    <w:rsid w:val="0075399E"/>
    <w:rsid w:val="00755F2D"/>
    <w:rsid w:val="00760FB8"/>
    <w:rsid w:val="00771166"/>
    <w:rsid w:val="007A0A52"/>
    <w:rsid w:val="007A1131"/>
    <w:rsid w:val="007C41ED"/>
    <w:rsid w:val="007D66BB"/>
    <w:rsid w:val="007D68CF"/>
    <w:rsid w:val="007E1D54"/>
    <w:rsid w:val="007E286A"/>
    <w:rsid w:val="007F509D"/>
    <w:rsid w:val="00801448"/>
    <w:rsid w:val="0081700F"/>
    <w:rsid w:val="008346AC"/>
    <w:rsid w:val="00836079"/>
    <w:rsid w:val="008461A3"/>
    <w:rsid w:val="008465BD"/>
    <w:rsid w:val="00851ACA"/>
    <w:rsid w:val="00854E01"/>
    <w:rsid w:val="00864B34"/>
    <w:rsid w:val="00865BDA"/>
    <w:rsid w:val="00876537"/>
    <w:rsid w:val="00876DF1"/>
    <w:rsid w:val="008826D6"/>
    <w:rsid w:val="00890581"/>
    <w:rsid w:val="00897255"/>
    <w:rsid w:val="008B3F81"/>
    <w:rsid w:val="008B5FB6"/>
    <w:rsid w:val="008B6237"/>
    <w:rsid w:val="008B6BEF"/>
    <w:rsid w:val="008C132E"/>
    <w:rsid w:val="008D31F8"/>
    <w:rsid w:val="008D5995"/>
    <w:rsid w:val="008E38DE"/>
    <w:rsid w:val="008E7DEB"/>
    <w:rsid w:val="008F7E49"/>
    <w:rsid w:val="00900A4D"/>
    <w:rsid w:val="009015B4"/>
    <w:rsid w:val="009050C6"/>
    <w:rsid w:val="00905DF8"/>
    <w:rsid w:val="009132A3"/>
    <w:rsid w:val="00913981"/>
    <w:rsid w:val="00914C5E"/>
    <w:rsid w:val="00924FF8"/>
    <w:rsid w:val="00934C3F"/>
    <w:rsid w:val="0093690C"/>
    <w:rsid w:val="00952938"/>
    <w:rsid w:val="00957B38"/>
    <w:rsid w:val="0096090B"/>
    <w:rsid w:val="0096160D"/>
    <w:rsid w:val="009629AA"/>
    <w:rsid w:val="00966332"/>
    <w:rsid w:val="009668F0"/>
    <w:rsid w:val="00981C0B"/>
    <w:rsid w:val="009848E6"/>
    <w:rsid w:val="009915E8"/>
    <w:rsid w:val="009A2822"/>
    <w:rsid w:val="009A285D"/>
    <w:rsid w:val="009A5463"/>
    <w:rsid w:val="009A5893"/>
    <w:rsid w:val="009A648C"/>
    <w:rsid w:val="009C061E"/>
    <w:rsid w:val="009D037D"/>
    <w:rsid w:val="009D390E"/>
    <w:rsid w:val="009D3CA0"/>
    <w:rsid w:val="009E0BF7"/>
    <w:rsid w:val="009E3279"/>
    <w:rsid w:val="009E6C2A"/>
    <w:rsid w:val="00A01433"/>
    <w:rsid w:val="00A07EE8"/>
    <w:rsid w:val="00A117DA"/>
    <w:rsid w:val="00A1227F"/>
    <w:rsid w:val="00A26C29"/>
    <w:rsid w:val="00A50C1D"/>
    <w:rsid w:val="00A52784"/>
    <w:rsid w:val="00A533B2"/>
    <w:rsid w:val="00A53D35"/>
    <w:rsid w:val="00A6270D"/>
    <w:rsid w:val="00A75839"/>
    <w:rsid w:val="00A77998"/>
    <w:rsid w:val="00A848CC"/>
    <w:rsid w:val="00AA02E9"/>
    <w:rsid w:val="00AA734C"/>
    <w:rsid w:val="00AB20CE"/>
    <w:rsid w:val="00AC59AB"/>
    <w:rsid w:val="00AF012F"/>
    <w:rsid w:val="00AF1287"/>
    <w:rsid w:val="00AF425B"/>
    <w:rsid w:val="00AF6723"/>
    <w:rsid w:val="00B02234"/>
    <w:rsid w:val="00B02FBF"/>
    <w:rsid w:val="00B122B6"/>
    <w:rsid w:val="00B12848"/>
    <w:rsid w:val="00B1445F"/>
    <w:rsid w:val="00B4286A"/>
    <w:rsid w:val="00B56188"/>
    <w:rsid w:val="00B60D51"/>
    <w:rsid w:val="00B634B6"/>
    <w:rsid w:val="00B65122"/>
    <w:rsid w:val="00B770B0"/>
    <w:rsid w:val="00B77827"/>
    <w:rsid w:val="00B8354C"/>
    <w:rsid w:val="00B84F59"/>
    <w:rsid w:val="00B90A1A"/>
    <w:rsid w:val="00B9575A"/>
    <w:rsid w:val="00BB036C"/>
    <w:rsid w:val="00BB5D51"/>
    <w:rsid w:val="00BB727D"/>
    <w:rsid w:val="00BC0BDC"/>
    <w:rsid w:val="00BC21B9"/>
    <w:rsid w:val="00BC50D1"/>
    <w:rsid w:val="00BF04EC"/>
    <w:rsid w:val="00C22440"/>
    <w:rsid w:val="00C24C37"/>
    <w:rsid w:val="00C30AF0"/>
    <w:rsid w:val="00C66F1A"/>
    <w:rsid w:val="00C73EF3"/>
    <w:rsid w:val="00C83524"/>
    <w:rsid w:val="00C838B7"/>
    <w:rsid w:val="00C920D4"/>
    <w:rsid w:val="00CB6F1E"/>
    <w:rsid w:val="00CC0797"/>
    <w:rsid w:val="00CC335D"/>
    <w:rsid w:val="00CF22C1"/>
    <w:rsid w:val="00CF2341"/>
    <w:rsid w:val="00D11B25"/>
    <w:rsid w:val="00D14DC0"/>
    <w:rsid w:val="00D15F02"/>
    <w:rsid w:val="00D45086"/>
    <w:rsid w:val="00D543FA"/>
    <w:rsid w:val="00D552DB"/>
    <w:rsid w:val="00D74417"/>
    <w:rsid w:val="00D80A6D"/>
    <w:rsid w:val="00D82431"/>
    <w:rsid w:val="00D9003F"/>
    <w:rsid w:val="00D946B6"/>
    <w:rsid w:val="00D961EF"/>
    <w:rsid w:val="00DA4E7E"/>
    <w:rsid w:val="00DB3B9B"/>
    <w:rsid w:val="00DB40E9"/>
    <w:rsid w:val="00DC5118"/>
    <w:rsid w:val="00DC55A8"/>
    <w:rsid w:val="00DD0989"/>
    <w:rsid w:val="00DE58F6"/>
    <w:rsid w:val="00DF3E57"/>
    <w:rsid w:val="00E032DA"/>
    <w:rsid w:val="00E172E6"/>
    <w:rsid w:val="00E17487"/>
    <w:rsid w:val="00E24EC6"/>
    <w:rsid w:val="00E321AD"/>
    <w:rsid w:val="00E32A99"/>
    <w:rsid w:val="00E4211E"/>
    <w:rsid w:val="00E5003C"/>
    <w:rsid w:val="00E5046E"/>
    <w:rsid w:val="00E5112A"/>
    <w:rsid w:val="00E72311"/>
    <w:rsid w:val="00E81936"/>
    <w:rsid w:val="00EB3743"/>
    <w:rsid w:val="00EC13D4"/>
    <w:rsid w:val="00EC322D"/>
    <w:rsid w:val="00EC4AF1"/>
    <w:rsid w:val="00EE7D60"/>
    <w:rsid w:val="00EF18C7"/>
    <w:rsid w:val="00EF2F75"/>
    <w:rsid w:val="00EF7D68"/>
    <w:rsid w:val="00F047B5"/>
    <w:rsid w:val="00F20DF6"/>
    <w:rsid w:val="00F53424"/>
    <w:rsid w:val="00F55575"/>
    <w:rsid w:val="00F67A16"/>
    <w:rsid w:val="00F84587"/>
    <w:rsid w:val="00F84E73"/>
    <w:rsid w:val="00F85C26"/>
    <w:rsid w:val="00F93118"/>
    <w:rsid w:val="00F95478"/>
    <w:rsid w:val="00FA0546"/>
    <w:rsid w:val="00FA2E39"/>
    <w:rsid w:val="00FC2294"/>
    <w:rsid w:val="00FC23DB"/>
    <w:rsid w:val="00FC4EFC"/>
    <w:rsid w:val="00FE21C0"/>
    <w:rsid w:val="00FE3633"/>
    <w:rsid w:val="00FE4893"/>
  </w:rsids>
  <m:mathPr>
    <m:mathFont m:val="Cambria Math"/>
    <m:brkBin m:val="before"/>
    <m:brkBinSub m:val="--"/>
    <m:smallFrac/>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2092D2"/>
  <w14:defaultImageDpi w14:val="32767"/>
  <w15:docId w15:val="{A111F312-809A-48B9-8466-8685DCD3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512"/>
    <w:pPr>
      <w:spacing w:before="120"/>
    </w:pPr>
    <w:rPr>
      <w:rFonts w:ascii="Arial" w:eastAsia="MS Mincho" w:hAnsi="Arial"/>
      <w:sz w:val="22"/>
      <w:szCs w:val="24"/>
      <w:lang w:val="de-DE" w:eastAsia="ja-JP"/>
    </w:rPr>
  </w:style>
  <w:style w:type="paragraph" w:styleId="Heading1">
    <w:name w:val="heading 1"/>
    <w:basedOn w:val="Normal"/>
    <w:next w:val="BodyText"/>
    <w:link w:val="Heading1Char"/>
    <w:uiPriority w:val="9"/>
    <w:qFormat/>
    <w:rsid w:val="009E6C2A"/>
    <w:pPr>
      <w:keepNext/>
      <w:keepLines/>
      <w:spacing w:before="240" w:after="160"/>
      <w:outlineLvl w:val="0"/>
    </w:pPr>
    <w:rPr>
      <w:rFonts w:eastAsia="MS Gothic"/>
      <w:b/>
      <w:bCs/>
      <w:szCs w:val="20"/>
      <w:lang w:val="en-GB"/>
    </w:rPr>
  </w:style>
  <w:style w:type="paragraph" w:styleId="Heading2">
    <w:name w:val="heading 2"/>
    <w:basedOn w:val="Normal"/>
    <w:next w:val="Normal"/>
    <w:link w:val="Heading2Char"/>
    <w:uiPriority w:val="9"/>
    <w:semiHidden/>
    <w:unhideWhenUsed/>
    <w:qFormat/>
    <w:rsid w:val="00372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72020"/>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3720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720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7202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7202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7202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02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169D4"/>
    <w:rPr>
      <w:rFonts w:ascii="Lucida Grande" w:hAnsi="Lucida Grande"/>
      <w:sz w:val="18"/>
      <w:szCs w:val="18"/>
    </w:rPr>
  </w:style>
  <w:style w:type="character" w:customStyle="1" w:styleId="BalloonTextChar">
    <w:name w:val="Balloon Text Char"/>
    <w:uiPriority w:val="99"/>
    <w:semiHidden/>
    <w:rsid w:val="008A5BBE"/>
    <w:rPr>
      <w:rFonts w:ascii="Lucida Grande" w:hAnsi="Lucida Grande"/>
      <w:sz w:val="18"/>
      <w:szCs w:val="18"/>
    </w:rPr>
  </w:style>
  <w:style w:type="paragraph" w:styleId="Header">
    <w:name w:val="header"/>
    <w:basedOn w:val="Normal"/>
    <w:link w:val="HeaderChar"/>
    <w:uiPriority w:val="99"/>
    <w:unhideWhenUsed/>
    <w:rsid w:val="00AC7E1D"/>
    <w:pPr>
      <w:tabs>
        <w:tab w:val="center" w:pos="4680"/>
        <w:tab w:val="right" w:pos="9360"/>
      </w:tabs>
    </w:pPr>
    <w:rPr>
      <w:rFonts w:ascii="Times New Roman" w:hAnsi="Times New Roman"/>
      <w:sz w:val="24"/>
    </w:rPr>
  </w:style>
  <w:style w:type="character" w:customStyle="1" w:styleId="HeaderChar">
    <w:name w:val="Header Char"/>
    <w:link w:val="Header"/>
    <w:uiPriority w:val="99"/>
    <w:rsid w:val="00AC7E1D"/>
    <w:rPr>
      <w:rFonts w:ascii="Times New Roman" w:eastAsia="MS Mincho" w:hAnsi="Times New Roman" w:cs="Times New Roman"/>
      <w:sz w:val="24"/>
      <w:szCs w:val="24"/>
      <w:lang w:val="de-DE" w:eastAsia="ja-JP"/>
    </w:rPr>
  </w:style>
  <w:style w:type="paragraph" w:styleId="Footer">
    <w:name w:val="footer"/>
    <w:basedOn w:val="Normal"/>
    <w:link w:val="FooterChar"/>
    <w:uiPriority w:val="99"/>
    <w:unhideWhenUsed/>
    <w:rsid w:val="00AC7E1D"/>
    <w:pPr>
      <w:tabs>
        <w:tab w:val="center" w:pos="4680"/>
        <w:tab w:val="right" w:pos="9360"/>
      </w:tabs>
    </w:pPr>
    <w:rPr>
      <w:rFonts w:ascii="Times New Roman" w:hAnsi="Times New Roman"/>
      <w:sz w:val="24"/>
    </w:rPr>
  </w:style>
  <w:style w:type="character" w:customStyle="1" w:styleId="FooterChar">
    <w:name w:val="Footer Char"/>
    <w:link w:val="Footer"/>
    <w:uiPriority w:val="99"/>
    <w:rsid w:val="00AC7E1D"/>
    <w:rPr>
      <w:rFonts w:ascii="Times New Roman" w:eastAsia="MS Mincho" w:hAnsi="Times New Roman" w:cs="Times New Roman"/>
      <w:sz w:val="24"/>
      <w:szCs w:val="24"/>
      <w:lang w:val="de-DE" w:eastAsia="ja-JP"/>
    </w:rPr>
  </w:style>
  <w:style w:type="paragraph" w:styleId="ListParagraph">
    <w:name w:val="List Paragraph"/>
    <w:basedOn w:val="Normal"/>
    <w:uiPriority w:val="34"/>
    <w:qFormat/>
    <w:rsid w:val="00306B49"/>
    <w:pPr>
      <w:ind w:left="720"/>
      <w:contextualSpacing/>
    </w:pPr>
  </w:style>
  <w:style w:type="character" w:customStyle="1" w:styleId="BalloonTextChar1">
    <w:name w:val="Balloon Text Char1"/>
    <w:link w:val="BalloonText"/>
    <w:uiPriority w:val="99"/>
    <w:semiHidden/>
    <w:rsid w:val="006169D4"/>
    <w:rPr>
      <w:rFonts w:ascii="Lucida Grande" w:eastAsia="MS Mincho" w:hAnsi="Lucida Grande" w:cs="Lucida Grande"/>
      <w:sz w:val="18"/>
      <w:szCs w:val="18"/>
      <w:lang w:val="de-DE" w:eastAsia="ja-JP"/>
    </w:rPr>
  </w:style>
  <w:style w:type="paragraph" w:styleId="FootnoteText">
    <w:name w:val="footnote text"/>
    <w:basedOn w:val="Normal"/>
    <w:link w:val="FootnoteTextChar"/>
    <w:semiHidden/>
    <w:rsid w:val="009E6C2A"/>
    <w:pPr>
      <w:spacing w:after="120"/>
      <w:jc w:val="both"/>
    </w:pPr>
    <w:rPr>
      <w:rFonts w:eastAsia="Times New Roman"/>
      <w:sz w:val="18"/>
      <w:lang w:val="en-AU"/>
    </w:rPr>
  </w:style>
  <w:style w:type="character" w:customStyle="1" w:styleId="FootnoteTextChar">
    <w:name w:val="Footnote Text Char"/>
    <w:link w:val="FootnoteText"/>
    <w:semiHidden/>
    <w:rsid w:val="009E6C2A"/>
    <w:rPr>
      <w:rFonts w:ascii="Arial" w:eastAsia="Times New Roman" w:hAnsi="Arial"/>
      <w:sz w:val="18"/>
      <w:szCs w:val="24"/>
      <w:lang w:eastAsia="ja-JP"/>
    </w:rPr>
  </w:style>
  <w:style w:type="character" w:styleId="FootnoteReference">
    <w:name w:val="footnote reference"/>
    <w:semiHidden/>
    <w:rsid w:val="009E6C2A"/>
    <w:rPr>
      <w:rFonts w:ascii="Arial" w:hAnsi="Arial"/>
      <w:vertAlign w:val="superscript"/>
    </w:rPr>
  </w:style>
  <w:style w:type="paragraph" w:styleId="Caption">
    <w:name w:val="caption"/>
    <w:basedOn w:val="Normal"/>
    <w:next w:val="Normal"/>
    <w:autoRedefine/>
    <w:uiPriority w:val="35"/>
    <w:unhideWhenUsed/>
    <w:qFormat/>
    <w:rsid w:val="00F53424"/>
    <w:pPr>
      <w:spacing w:before="160" w:after="160"/>
      <w:ind w:firstLine="720"/>
    </w:pPr>
    <w:rPr>
      <w:b/>
      <w:bCs/>
      <w:szCs w:val="22"/>
      <w:lang w:val="en-GB" w:bidi="en-US"/>
    </w:rPr>
  </w:style>
  <w:style w:type="character" w:customStyle="1" w:styleId="Heading1Char">
    <w:name w:val="Heading 1 Char"/>
    <w:link w:val="Heading1"/>
    <w:uiPriority w:val="9"/>
    <w:rsid w:val="009E6C2A"/>
    <w:rPr>
      <w:rFonts w:ascii="Arial" w:eastAsia="MS Gothic" w:hAnsi="Arial"/>
      <w:b/>
      <w:bCs/>
      <w:sz w:val="22"/>
      <w:lang w:val="en-GB" w:eastAsia="ja-JP"/>
    </w:rPr>
  </w:style>
  <w:style w:type="character" w:styleId="Hyperlink">
    <w:name w:val="Hyperlink"/>
    <w:uiPriority w:val="99"/>
    <w:unhideWhenUsed/>
    <w:rsid w:val="00CC4B95"/>
    <w:rPr>
      <w:color w:val="0563C1"/>
      <w:u w:val="single"/>
    </w:rPr>
  </w:style>
  <w:style w:type="character" w:styleId="FollowedHyperlink">
    <w:name w:val="FollowedHyperlink"/>
    <w:uiPriority w:val="99"/>
    <w:semiHidden/>
    <w:unhideWhenUsed/>
    <w:rsid w:val="00551512"/>
    <w:rPr>
      <w:color w:val="4F81BD" w:themeColor="accent1"/>
      <w:u w:val="single"/>
    </w:rPr>
  </w:style>
  <w:style w:type="character" w:styleId="Emphasis">
    <w:name w:val="Emphasis"/>
    <w:basedOn w:val="DefaultParagraphFont"/>
    <w:uiPriority w:val="20"/>
    <w:qFormat/>
    <w:rsid w:val="004A1BC9"/>
    <w:rPr>
      <w:i/>
      <w:iCs/>
    </w:rPr>
  </w:style>
  <w:style w:type="character" w:styleId="CommentReference">
    <w:name w:val="annotation reference"/>
    <w:basedOn w:val="DefaultParagraphFont"/>
    <w:uiPriority w:val="99"/>
    <w:semiHidden/>
    <w:unhideWhenUsed/>
    <w:rsid w:val="008E7DEB"/>
    <w:rPr>
      <w:sz w:val="16"/>
      <w:szCs w:val="16"/>
    </w:rPr>
  </w:style>
  <w:style w:type="paragraph" w:styleId="CommentText">
    <w:name w:val="annotation text"/>
    <w:basedOn w:val="Normal"/>
    <w:link w:val="CommentTextChar"/>
    <w:uiPriority w:val="99"/>
    <w:semiHidden/>
    <w:unhideWhenUsed/>
    <w:rsid w:val="008E7DEB"/>
    <w:rPr>
      <w:sz w:val="20"/>
      <w:szCs w:val="20"/>
    </w:rPr>
  </w:style>
  <w:style w:type="character" w:customStyle="1" w:styleId="CommentTextChar">
    <w:name w:val="Comment Text Char"/>
    <w:basedOn w:val="DefaultParagraphFont"/>
    <w:link w:val="CommentText"/>
    <w:uiPriority w:val="99"/>
    <w:semiHidden/>
    <w:rsid w:val="008E7DEB"/>
    <w:rPr>
      <w:rFonts w:ascii="Arial" w:eastAsia="MS Mincho" w:hAnsi="Arial"/>
      <w:lang w:val="de-DE" w:eastAsia="ja-JP"/>
    </w:rPr>
  </w:style>
  <w:style w:type="paragraph" w:styleId="CommentSubject">
    <w:name w:val="annotation subject"/>
    <w:basedOn w:val="CommentText"/>
    <w:next w:val="CommentText"/>
    <w:link w:val="CommentSubjectChar"/>
    <w:uiPriority w:val="99"/>
    <w:semiHidden/>
    <w:unhideWhenUsed/>
    <w:rsid w:val="008E7DEB"/>
    <w:rPr>
      <w:b/>
      <w:bCs/>
    </w:rPr>
  </w:style>
  <w:style w:type="character" w:customStyle="1" w:styleId="CommentSubjectChar">
    <w:name w:val="Comment Subject Char"/>
    <w:basedOn w:val="CommentTextChar"/>
    <w:link w:val="CommentSubject"/>
    <w:uiPriority w:val="99"/>
    <w:semiHidden/>
    <w:rsid w:val="008E7DEB"/>
    <w:rPr>
      <w:rFonts w:ascii="Arial" w:eastAsia="MS Mincho" w:hAnsi="Arial"/>
      <w:b/>
      <w:bCs/>
      <w:lang w:val="de-DE" w:eastAsia="ja-JP"/>
    </w:rPr>
  </w:style>
  <w:style w:type="paragraph" w:styleId="Revision">
    <w:name w:val="Revision"/>
    <w:hidden/>
    <w:uiPriority w:val="71"/>
    <w:semiHidden/>
    <w:rsid w:val="008E7DEB"/>
    <w:rPr>
      <w:rFonts w:ascii="Arial" w:eastAsia="MS Mincho" w:hAnsi="Arial"/>
      <w:sz w:val="22"/>
      <w:szCs w:val="24"/>
      <w:lang w:val="de-DE" w:eastAsia="ja-JP"/>
    </w:rPr>
  </w:style>
  <w:style w:type="paragraph" w:customStyle="1" w:styleId="Affiliation">
    <w:name w:val="Affiliation"/>
    <w:basedOn w:val="Normal"/>
    <w:qFormat/>
    <w:rsid w:val="009E6C2A"/>
    <w:pPr>
      <w:spacing w:before="0"/>
      <w:jc w:val="center"/>
    </w:pPr>
    <w:rPr>
      <w:rFonts w:cs="Arial"/>
      <w:i/>
      <w:szCs w:val="22"/>
      <w:lang w:val="en-GB"/>
    </w:rPr>
  </w:style>
  <w:style w:type="paragraph" w:styleId="Bibliography">
    <w:name w:val="Bibliography"/>
    <w:basedOn w:val="Normal"/>
    <w:next w:val="Normal"/>
    <w:uiPriority w:val="99"/>
    <w:rsid w:val="00372020"/>
  </w:style>
  <w:style w:type="paragraph" w:styleId="BlockText">
    <w:name w:val="Block Text"/>
    <w:basedOn w:val="Normal"/>
    <w:uiPriority w:val="99"/>
    <w:semiHidden/>
    <w:unhideWhenUsed/>
    <w:rsid w:val="0037202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551512"/>
    <w:pPr>
      <w:spacing w:before="160" w:after="160"/>
    </w:pPr>
  </w:style>
  <w:style w:type="character" w:customStyle="1" w:styleId="BodyTextChar">
    <w:name w:val="Body Text Char"/>
    <w:basedOn w:val="DefaultParagraphFont"/>
    <w:link w:val="BodyText"/>
    <w:uiPriority w:val="99"/>
    <w:rsid w:val="00551512"/>
    <w:rPr>
      <w:rFonts w:ascii="Arial" w:eastAsia="MS Mincho" w:hAnsi="Arial"/>
      <w:sz w:val="22"/>
      <w:szCs w:val="24"/>
      <w:lang w:val="de-DE" w:eastAsia="ja-JP"/>
    </w:rPr>
  </w:style>
  <w:style w:type="paragraph" w:styleId="BodyText2">
    <w:name w:val="Body Text 2"/>
    <w:basedOn w:val="Normal"/>
    <w:link w:val="BodyText2Char"/>
    <w:uiPriority w:val="99"/>
    <w:semiHidden/>
    <w:unhideWhenUsed/>
    <w:rsid w:val="00372020"/>
    <w:pPr>
      <w:spacing w:after="120" w:line="480" w:lineRule="auto"/>
    </w:pPr>
  </w:style>
  <w:style w:type="character" w:customStyle="1" w:styleId="BodyText2Char">
    <w:name w:val="Body Text 2 Char"/>
    <w:basedOn w:val="DefaultParagraphFont"/>
    <w:link w:val="BodyText2"/>
    <w:uiPriority w:val="99"/>
    <w:semiHidden/>
    <w:rsid w:val="00372020"/>
    <w:rPr>
      <w:rFonts w:ascii="Arial" w:eastAsia="MS Mincho" w:hAnsi="Arial"/>
      <w:sz w:val="22"/>
      <w:szCs w:val="24"/>
      <w:lang w:val="de-DE" w:eastAsia="ja-JP"/>
    </w:rPr>
  </w:style>
  <w:style w:type="paragraph" w:styleId="BodyText3">
    <w:name w:val="Body Text 3"/>
    <w:basedOn w:val="Normal"/>
    <w:link w:val="BodyText3Char"/>
    <w:uiPriority w:val="99"/>
    <w:semiHidden/>
    <w:unhideWhenUsed/>
    <w:rsid w:val="00372020"/>
    <w:pPr>
      <w:spacing w:after="120"/>
    </w:pPr>
    <w:rPr>
      <w:sz w:val="16"/>
      <w:szCs w:val="16"/>
    </w:rPr>
  </w:style>
  <w:style w:type="character" w:customStyle="1" w:styleId="BodyText3Char">
    <w:name w:val="Body Text 3 Char"/>
    <w:basedOn w:val="DefaultParagraphFont"/>
    <w:link w:val="BodyText3"/>
    <w:uiPriority w:val="99"/>
    <w:semiHidden/>
    <w:rsid w:val="00372020"/>
    <w:rPr>
      <w:rFonts w:ascii="Arial" w:eastAsia="MS Mincho" w:hAnsi="Arial"/>
      <w:sz w:val="16"/>
      <w:szCs w:val="16"/>
      <w:lang w:val="de-DE" w:eastAsia="ja-JP"/>
    </w:rPr>
  </w:style>
  <w:style w:type="paragraph" w:styleId="BodyTextFirstIndent">
    <w:name w:val="Body Text First Indent"/>
    <w:basedOn w:val="BodyText"/>
    <w:link w:val="BodyTextFirstIndentChar"/>
    <w:uiPriority w:val="99"/>
    <w:semiHidden/>
    <w:unhideWhenUsed/>
    <w:rsid w:val="00372020"/>
    <w:pPr>
      <w:spacing w:after="0"/>
      <w:ind w:firstLine="360"/>
    </w:pPr>
  </w:style>
  <w:style w:type="character" w:customStyle="1" w:styleId="BodyTextFirstIndentChar">
    <w:name w:val="Body Text First Indent Char"/>
    <w:basedOn w:val="BodyTextChar"/>
    <w:link w:val="BodyTextFirstIndent"/>
    <w:uiPriority w:val="99"/>
    <w:semiHidden/>
    <w:rsid w:val="00372020"/>
    <w:rPr>
      <w:rFonts w:ascii="Arial" w:eastAsia="MS Mincho" w:hAnsi="Arial"/>
      <w:sz w:val="22"/>
      <w:szCs w:val="24"/>
      <w:lang w:val="de-DE" w:eastAsia="ja-JP"/>
    </w:rPr>
  </w:style>
  <w:style w:type="paragraph" w:styleId="BodyTextIndent">
    <w:name w:val="Body Text Indent"/>
    <w:basedOn w:val="Normal"/>
    <w:link w:val="BodyTextIndentChar"/>
    <w:uiPriority w:val="99"/>
    <w:semiHidden/>
    <w:unhideWhenUsed/>
    <w:rsid w:val="00372020"/>
    <w:pPr>
      <w:spacing w:after="120"/>
      <w:ind w:left="283"/>
    </w:pPr>
  </w:style>
  <w:style w:type="character" w:customStyle="1" w:styleId="BodyTextIndentChar">
    <w:name w:val="Body Text Indent Char"/>
    <w:basedOn w:val="DefaultParagraphFont"/>
    <w:link w:val="BodyTextIndent"/>
    <w:uiPriority w:val="99"/>
    <w:semiHidden/>
    <w:rsid w:val="00372020"/>
    <w:rPr>
      <w:rFonts w:ascii="Arial" w:eastAsia="MS Mincho" w:hAnsi="Arial"/>
      <w:sz w:val="22"/>
      <w:szCs w:val="24"/>
      <w:lang w:val="de-DE" w:eastAsia="ja-JP"/>
    </w:rPr>
  </w:style>
  <w:style w:type="paragraph" w:styleId="BodyTextFirstIndent2">
    <w:name w:val="Body Text First Indent 2"/>
    <w:basedOn w:val="BodyTextIndent"/>
    <w:link w:val="BodyTextFirstIndent2Char"/>
    <w:uiPriority w:val="99"/>
    <w:semiHidden/>
    <w:unhideWhenUsed/>
    <w:rsid w:val="00372020"/>
    <w:pPr>
      <w:spacing w:after="0"/>
      <w:ind w:left="360" w:firstLine="360"/>
    </w:pPr>
  </w:style>
  <w:style w:type="character" w:customStyle="1" w:styleId="BodyTextFirstIndent2Char">
    <w:name w:val="Body Text First Indent 2 Char"/>
    <w:basedOn w:val="BodyTextIndentChar"/>
    <w:link w:val="BodyTextFirstIndent2"/>
    <w:uiPriority w:val="99"/>
    <w:semiHidden/>
    <w:rsid w:val="00372020"/>
    <w:rPr>
      <w:rFonts w:ascii="Arial" w:eastAsia="MS Mincho" w:hAnsi="Arial"/>
      <w:sz w:val="22"/>
      <w:szCs w:val="24"/>
      <w:lang w:val="de-DE" w:eastAsia="ja-JP"/>
    </w:rPr>
  </w:style>
  <w:style w:type="paragraph" w:styleId="BodyTextIndent2">
    <w:name w:val="Body Text Indent 2"/>
    <w:basedOn w:val="Normal"/>
    <w:link w:val="BodyTextIndent2Char"/>
    <w:uiPriority w:val="99"/>
    <w:semiHidden/>
    <w:unhideWhenUsed/>
    <w:rsid w:val="00372020"/>
    <w:pPr>
      <w:spacing w:after="120" w:line="480" w:lineRule="auto"/>
      <w:ind w:left="283"/>
    </w:pPr>
  </w:style>
  <w:style w:type="character" w:customStyle="1" w:styleId="BodyTextIndent2Char">
    <w:name w:val="Body Text Indent 2 Char"/>
    <w:basedOn w:val="DefaultParagraphFont"/>
    <w:link w:val="BodyTextIndent2"/>
    <w:uiPriority w:val="99"/>
    <w:semiHidden/>
    <w:rsid w:val="00372020"/>
    <w:rPr>
      <w:rFonts w:ascii="Arial" w:eastAsia="MS Mincho" w:hAnsi="Arial"/>
      <w:sz w:val="22"/>
      <w:szCs w:val="24"/>
      <w:lang w:val="de-DE" w:eastAsia="ja-JP"/>
    </w:rPr>
  </w:style>
  <w:style w:type="paragraph" w:styleId="BodyTextIndent3">
    <w:name w:val="Body Text Indent 3"/>
    <w:basedOn w:val="Normal"/>
    <w:link w:val="BodyTextIndent3Char"/>
    <w:uiPriority w:val="99"/>
    <w:semiHidden/>
    <w:unhideWhenUsed/>
    <w:rsid w:val="0037202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72020"/>
    <w:rPr>
      <w:rFonts w:ascii="Arial" w:eastAsia="MS Mincho" w:hAnsi="Arial"/>
      <w:sz w:val="16"/>
      <w:szCs w:val="16"/>
      <w:lang w:val="de-DE" w:eastAsia="ja-JP"/>
    </w:rPr>
  </w:style>
  <w:style w:type="paragraph" w:styleId="Closing">
    <w:name w:val="Closing"/>
    <w:basedOn w:val="Normal"/>
    <w:link w:val="ClosingChar"/>
    <w:uiPriority w:val="99"/>
    <w:semiHidden/>
    <w:unhideWhenUsed/>
    <w:rsid w:val="00372020"/>
    <w:pPr>
      <w:spacing w:before="0"/>
      <w:ind w:left="4252"/>
    </w:pPr>
  </w:style>
  <w:style w:type="character" w:customStyle="1" w:styleId="ClosingChar">
    <w:name w:val="Closing Char"/>
    <w:basedOn w:val="DefaultParagraphFont"/>
    <w:link w:val="Closing"/>
    <w:uiPriority w:val="99"/>
    <w:semiHidden/>
    <w:rsid w:val="00372020"/>
    <w:rPr>
      <w:rFonts w:ascii="Arial" w:eastAsia="MS Mincho" w:hAnsi="Arial"/>
      <w:sz w:val="22"/>
      <w:szCs w:val="24"/>
      <w:lang w:val="de-DE" w:eastAsia="ja-JP"/>
    </w:rPr>
  </w:style>
  <w:style w:type="paragraph" w:styleId="Date">
    <w:name w:val="Date"/>
    <w:basedOn w:val="Normal"/>
    <w:next w:val="Normal"/>
    <w:link w:val="DateChar"/>
    <w:uiPriority w:val="99"/>
    <w:semiHidden/>
    <w:unhideWhenUsed/>
    <w:rsid w:val="00372020"/>
  </w:style>
  <w:style w:type="character" w:customStyle="1" w:styleId="DateChar">
    <w:name w:val="Date Char"/>
    <w:basedOn w:val="DefaultParagraphFont"/>
    <w:link w:val="Date"/>
    <w:uiPriority w:val="99"/>
    <w:semiHidden/>
    <w:rsid w:val="00372020"/>
    <w:rPr>
      <w:rFonts w:ascii="Arial" w:eastAsia="MS Mincho" w:hAnsi="Arial"/>
      <w:sz w:val="22"/>
      <w:szCs w:val="24"/>
      <w:lang w:val="de-DE" w:eastAsia="ja-JP"/>
    </w:rPr>
  </w:style>
  <w:style w:type="paragraph" w:styleId="DocumentMap">
    <w:name w:val="Document Map"/>
    <w:basedOn w:val="Normal"/>
    <w:link w:val="DocumentMapChar"/>
    <w:uiPriority w:val="99"/>
    <w:semiHidden/>
    <w:unhideWhenUsed/>
    <w:rsid w:val="00372020"/>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020"/>
    <w:rPr>
      <w:rFonts w:ascii="Segoe UI" w:eastAsia="MS Mincho" w:hAnsi="Segoe UI" w:cs="Segoe UI"/>
      <w:sz w:val="16"/>
      <w:szCs w:val="16"/>
      <w:lang w:val="de-DE" w:eastAsia="ja-JP"/>
    </w:rPr>
  </w:style>
  <w:style w:type="paragraph" w:styleId="E-mailSignature">
    <w:name w:val="E-mail Signature"/>
    <w:basedOn w:val="Normal"/>
    <w:link w:val="E-mailSignatureChar"/>
    <w:uiPriority w:val="99"/>
    <w:semiHidden/>
    <w:unhideWhenUsed/>
    <w:rsid w:val="00372020"/>
    <w:pPr>
      <w:spacing w:before="0"/>
    </w:pPr>
  </w:style>
  <w:style w:type="character" w:customStyle="1" w:styleId="E-mailSignatureChar">
    <w:name w:val="E-mail Signature Char"/>
    <w:basedOn w:val="DefaultParagraphFont"/>
    <w:link w:val="E-mailSignature"/>
    <w:uiPriority w:val="99"/>
    <w:semiHidden/>
    <w:rsid w:val="00372020"/>
    <w:rPr>
      <w:rFonts w:ascii="Arial" w:eastAsia="MS Mincho" w:hAnsi="Arial"/>
      <w:sz w:val="22"/>
      <w:szCs w:val="24"/>
      <w:lang w:val="de-DE" w:eastAsia="ja-JP"/>
    </w:rPr>
  </w:style>
  <w:style w:type="paragraph" w:styleId="EndnoteText">
    <w:name w:val="endnote text"/>
    <w:basedOn w:val="Normal"/>
    <w:link w:val="EndnoteTextChar"/>
    <w:uiPriority w:val="99"/>
    <w:semiHidden/>
    <w:unhideWhenUsed/>
    <w:rsid w:val="00372020"/>
    <w:pPr>
      <w:spacing w:before="0"/>
    </w:pPr>
    <w:rPr>
      <w:sz w:val="20"/>
      <w:szCs w:val="20"/>
    </w:rPr>
  </w:style>
  <w:style w:type="character" w:customStyle="1" w:styleId="EndnoteTextChar">
    <w:name w:val="Endnote Text Char"/>
    <w:basedOn w:val="DefaultParagraphFont"/>
    <w:link w:val="EndnoteText"/>
    <w:uiPriority w:val="99"/>
    <w:semiHidden/>
    <w:rsid w:val="00372020"/>
    <w:rPr>
      <w:rFonts w:ascii="Arial" w:eastAsia="MS Mincho" w:hAnsi="Arial"/>
      <w:lang w:val="de-DE" w:eastAsia="ja-JP"/>
    </w:rPr>
  </w:style>
  <w:style w:type="paragraph" w:styleId="EnvelopeAddress">
    <w:name w:val="envelope address"/>
    <w:basedOn w:val="Normal"/>
    <w:uiPriority w:val="99"/>
    <w:semiHidden/>
    <w:unhideWhenUsed/>
    <w:rsid w:val="00372020"/>
    <w:pPr>
      <w:framePr w:w="7920" w:h="1980" w:hRule="exact" w:hSpace="180" w:wrap="auto" w:hAnchor="page" w:xAlign="center" w:yAlign="bottom"/>
      <w:spacing w:before="0"/>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72020"/>
    <w:pPr>
      <w:spacing w:before="0"/>
    </w:pPr>
    <w:rPr>
      <w:rFonts w:asciiTheme="majorHAnsi" w:eastAsiaTheme="majorEastAsia" w:hAnsiTheme="majorHAnsi" w:cstheme="majorBidi"/>
      <w:sz w:val="20"/>
      <w:szCs w:val="20"/>
    </w:rPr>
  </w:style>
  <w:style w:type="character" w:customStyle="1" w:styleId="Heading2Char">
    <w:name w:val="Heading 2 Char"/>
    <w:basedOn w:val="DefaultParagraphFont"/>
    <w:link w:val="Heading2"/>
    <w:uiPriority w:val="9"/>
    <w:semiHidden/>
    <w:rsid w:val="00372020"/>
    <w:rPr>
      <w:rFonts w:asciiTheme="majorHAnsi" w:eastAsiaTheme="majorEastAsia" w:hAnsiTheme="majorHAnsi" w:cstheme="majorBidi"/>
      <w:color w:val="365F91" w:themeColor="accent1" w:themeShade="BF"/>
      <w:sz w:val="26"/>
      <w:szCs w:val="26"/>
      <w:lang w:val="de-DE" w:eastAsia="ja-JP"/>
    </w:rPr>
  </w:style>
  <w:style w:type="character" w:customStyle="1" w:styleId="Heading3Char">
    <w:name w:val="Heading 3 Char"/>
    <w:basedOn w:val="DefaultParagraphFont"/>
    <w:link w:val="Heading3"/>
    <w:uiPriority w:val="9"/>
    <w:semiHidden/>
    <w:rsid w:val="00372020"/>
    <w:rPr>
      <w:rFonts w:asciiTheme="majorHAnsi" w:eastAsiaTheme="majorEastAsia" w:hAnsiTheme="majorHAnsi" w:cstheme="majorBidi"/>
      <w:color w:val="243F60" w:themeColor="accent1" w:themeShade="7F"/>
      <w:sz w:val="24"/>
      <w:szCs w:val="24"/>
      <w:lang w:val="de-DE" w:eastAsia="ja-JP"/>
    </w:rPr>
  </w:style>
  <w:style w:type="character" w:customStyle="1" w:styleId="Heading4Char">
    <w:name w:val="Heading 4 Char"/>
    <w:basedOn w:val="DefaultParagraphFont"/>
    <w:link w:val="Heading4"/>
    <w:uiPriority w:val="9"/>
    <w:semiHidden/>
    <w:rsid w:val="00372020"/>
    <w:rPr>
      <w:rFonts w:asciiTheme="majorHAnsi" w:eastAsiaTheme="majorEastAsia" w:hAnsiTheme="majorHAnsi" w:cstheme="majorBidi"/>
      <w:i/>
      <w:iCs/>
      <w:color w:val="365F91" w:themeColor="accent1" w:themeShade="BF"/>
      <w:sz w:val="22"/>
      <w:szCs w:val="24"/>
      <w:lang w:val="de-DE" w:eastAsia="ja-JP"/>
    </w:rPr>
  </w:style>
  <w:style w:type="character" w:customStyle="1" w:styleId="Heading5Char">
    <w:name w:val="Heading 5 Char"/>
    <w:basedOn w:val="DefaultParagraphFont"/>
    <w:link w:val="Heading5"/>
    <w:uiPriority w:val="9"/>
    <w:semiHidden/>
    <w:rsid w:val="00372020"/>
    <w:rPr>
      <w:rFonts w:asciiTheme="majorHAnsi" w:eastAsiaTheme="majorEastAsia" w:hAnsiTheme="majorHAnsi" w:cstheme="majorBidi"/>
      <w:color w:val="365F91" w:themeColor="accent1" w:themeShade="BF"/>
      <w:sz w:val="22"/>
      <w:szCs w:val="24"/>
      <w:lang w:val="de-DE" w:eastAsia="ja-JP"/>
    </w:rPr>
  </w:style>
  <w:style w:type="character" w:customStyle="1" w:styleId="Heading6Char">
    <w:name w:val="Heading 6 Char"/>
    <w:basedOn w:val="DefaultParagraphFont"/>
    <w:link w:val="Heading6"/>
    <w:uiPriority w:val="9"/>
    <w:semiHidden/>
    <w:rsid w:val="00372020"/>
    <w:rPr>
      <w:rFonts w:asciiTheme="majorHAnsi" w:eastAsiaTheme="majorEastAsia" w:hAnsiTheme="majorHAnsi" w:cstheme="majorBidi"/>
      <w:color w:val="243F60" w:themeColor="accent1" w:themeShade="7F"/>
      <w:sz w:val="22"/>
      <w:szCs w:val="24"/>
      <w:lang w:val="de-DE" w:eastAsia="ja-JP"/>
    </w:rPr>
  </w:style>
  <w:style w:type="character" w:customStyle="1" w:styleId="Heading7Char">
    <w:name w:val="Heading 7 Char"/>
    <w:basedOn w:val="DefaultParagraphFont"/>
    <w:link w:val="Heading7"/>
    <w:uiPriority w:val="9"/>
    <w:semiHidden/>
    <w:rsid w:val="00372020"/>
    <w:rPr>
      <w:rFonts w:asciiTheme="majorHAnsi" w:eastAsiaTheme="majorEastAsia" w:hAnsiTheme="majorHAnsi" w:cstheme="majorBidi"/>
      <w:i/>
      <w:iCs/>
      <w:color w:val="243F60" w:themeColor="accent1" w:themeShade="7F"/>
      <w:sz w:val="22"/>
      <w:szCs w:val="24"/>
      <w:lang w:val="de-DE" w:eastAsia="ja-JP"/>
    </w:rPr>
  </w:style>
  <w:style w:type="character" w:customStyle="1" w:styleId="Heading8Char">
    <w:name w:val="Heading 8 Char"/>
    <w:basedOn w:val="DefaultParagraphFont"/>
    <w:link w:val="Heading8"/>
    <w:uiPriority w:val="9"/>
    <w:semiHidden/>
    <w:rsid w:val="00372020"/>
    <w:rPr>
      <w:rFonts w:asciiTheme="majorHAnsi" w:eastAsiaTheme="majorEastAsia" w:hAnsiTheme="majorHAnsi" w:cstheme="majorBidi"/>
      <w:color w:val="272727" w:themeColor="text1" w:themeTint="D8"/>
      <w:sz w:val="21"/>
      <w:szCs w:val="21"/>
      <w:lang w:val="de-DE" w:eastAsia="ja-JP"/>
    </w:rPr>
  </w:style>
  <w:style w:type="character" w:customStyle="1" w:styleId="Heading9Char">
    <w:name w:val="Heading 9 Char"/>
    <w:basedOn w:val="DefaultParagraphFont"/>
    <w:link w:val="Heading9"/>
    <w:uiPriority w:val="9"/>
    <w:semiHidden/>
    <w:rsid w:val="00372020"/>
    <w:rPr>
      <w:rFonts w:asciiTheme="majorHAnsi" w:eastAsiaTheme="majorEastAsia" w:hAnsiTheme="majorHAnsi" w:cstheme="majorBidi"/>
      <w:i/>
      <w:iCs/>
      <w:color w:val="272727" w:themeColor="text1" w:themeTint="D8"/>
      <w:sz w:val="21"/>
      <w:szCs w:val="21"/>
      <w:lang w:val="de-DE" w:eastAsia="ja-JP"/>
    </w:rPr>
  </w:style>
  <w:style w:type="paragraph" w:styleId="HTMLAddress">
    <w:name w:val="HTML Address"/>
    <w:basedOn w:val="Normal"/>
    <w:link w:val="HTMLAddressChar"/>
    <w:uiPriority w:val="99"/>
    <w:semiHidden/>
    <w:unhideWhenUsed/>
    <w:rsid w:val="00372020"/>
    <w:pPr>
      <w:spacing w:before="0"/>
    </w:pPr>
    <w:rPr>
      <w:i/>
      <w:iCs/>
    </w:rPr>
  </w:style>
  <w:style w:type="character" w:customStyle="1" w:styleId="HTMLAddressChar">
    <w:name w:val="HTML Address Char"/>
    <w:basedOn w:val="DefaultParagraphFont"/>
    <w:link w:val="HTMLAddress"/>
    <w:uiPriority w:val="99"/>
    <w:semiHidden/>
    <w:rsid w:val="00372020"/>
    <w:rPr>
      <w:rFonts w:ascii="Arial" w:eastAsia="MS Mincho" w:hAnsi="Arial"/>
      <w:i/>
      <w:iCs/>
      <w:sz w:val="22"/>
      <w:szCs w:val="24"/>
      <w:lang w:val="de-DE" w:eastAsia="ja-JP"/>
    </w:rPr>
  </w:style>
  <w:style w:type="paragraph" w:styleId="HTMLPreformatted">
    <w:name w:val="HTML Preformatted"/>
    <w:basedOn w:val="Normal"/>
    <w:link w:val="HTMLPreformattedChar"/>
    <w:uiPriority w:val="99"/>
    <w:semiHidden/>
    <w:unhideWhenUsed/>
    <w:rsid w:val="00372020"/>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020"/>
    <w:rPr>
      <w:rFonts w:ascii="Consolas" w:eastAsia="MS Mincho" w:hAnsi="Consolas"/>
      <w:lang w:val="de-DE" w:eastAsia="ja-JP"/>
    </w:rPr>
  </w:style>
  <w:style w:type="paragraph" w:styleId="Index1">
    <w:name w:val="index 1"/>
    <w:basedOn w:val="Normal"/>
    <w:next w:val="Normal"/>
    <w:autoRedefine/>
    <w:uiPriority w:val="99"/>
    <w:unhideWhenUsed/>
    <w:rsid w:val="00372020"/>
    <w:pPr>
      <w:spacing w:before="0"/>
      <w:ind w:left="220" w:hanging="220"/>
    </w:pPr>
  </w:style>
  <w:style w:type="paragraph" w:styleId="Index2">
    <w:name w:val="index 2"/>
    <w:basedOn w:val="Normal"/>
    <w:next w:val="Normal"/>
    <w:autoRedefine/>
    <w:uiPriority w:val="99"/>
    <w:semiHidden/>
    <w:unhideWhenUsed/>
    <w:rsid w:val="00372020"/>
    <w:pPr>
      <w:spacing w:before="0"/>
      <w:ind w:left="440" w:hanging="220"/>
    </w:pPr>
  </w:style>
  <w:style w:type="paragraph" w:styleId="Index3">
    <w:name w:val="index 3"/>
    <w:basedOn w:val="Normal"/>
    <w:next w:val="Normal"/>
    <w:autoRedefine/>
    <w:uiPriority w:val="99"/>
    <w:semiHidden/>
    <w:unhideWhenUsed/>
    <w:rsid w:val="00372020"/>
    <w:pPr>
      <w:spacing w:before="0"/>
      <w:ind w:left="660" w:hanging="220"/>
    </w:pPr>
  </w:style>
  <w:style w:type="paragraph" w:styleId="Index4">
    <w:name w:val="index 4"/>
    <w:basedOn w:val="Normal"/>
    <w:next w:val="Normal"/>
    <w:autoRedefine/>
    <w:uiPriority w:val="99"/>
    <w:semiHidden/>
    <w:unhideWhenUsed/>
    <w:rsid w:val="00372020"/>
    <w:pPr>
      <w:spacing w:before="0"/>
      <w:ind w:left="880" w:hanging="220"/>
    </w:pPr>
  </w:style>
  <w:style w:type="paragraph" w:styleId="Index5">
    <w:name w:val="index 5"/>
    <w:basedOn w:val="Normal"/>
    <w:next w:val="Normal"/>
    <w:autoRedefine/>
    <w:uiPriority w:val="99"/>
    <w:semiHidden/>
    <w:unhideWhenUsed/>
    <w:rsid w:val="00372020"/>
    <w:pPr>
      <w:spacing w:before="0"/>
      <w:ind w:left="1100" w:hanging="220"/>
    </w:pPr>
  </w:style>
  <w:style w:type="paragraph" w:styleId="Index6">
    <w:name w:val="index 6"/>
    <w:basedOn w:val="Normal"/>
    <w:next w:val="Normal"/>
    <w:autoRedefine/>
    <w:uiPriority w:val="99"/>
    <w:semiHidden/>
    <w:unhideWhenUsed/>
    <w:rsid w:val="00372020"/>
    <w:pPr>
      <w:spacing w:before="0"/>
      <w:ind w:left="1320" w:hanging="220"/>
    </w:pPr>
  </w:style>
  <w:style w:type="paragraph" w:styleId="Index7">
    <w:name w:val="index 7"/>
    <w:basedOn w:val="Normal"/>
    <w:next w:val="Normal"/>
    <w:autoRedefine/>
    <w:uiPriority w:val="99"/>
    <w:semiHidden/>
    <w:unhideWhenUsed/>
    <w:rsid w:val="00372020"/>
    <w:pPr>
      <w:spacing w:before="0"/>
      <w:ind w:left="1540" w:hanging="220"/>
    </w:pPr>
  </w:style>
  <w:style w:type="paragraph" w:styleId="Index8">
    <w:name w:val="index 8"/>
    <w:basedOn w:val="Normal"/>
    <w:next w:val="Normal"/>
    <w:autoRedefine/>
    <w:uiPriority w:val="99"/>
    <w:semiHidden/>
    <w:unhideWhenUsed/>
    <w:rsid w:val="00372020"/>
    <w:pPr>
      <w:spacing w:before="0"/>
      <w:ind w:left="1760" w:hanging="220"/>
    </w:pPr>
  </w:style>
  <w:style w:type="paragraph" w:styleId="Index9">
    <w:name w:val="index 9"/>
    <w:basedOn w:val="Normal"/>
    <w:next w:val="Normal"/>
    <w:autoRedefine/>
    <w:uiPriority w:val="99"/>
    <w:semiHidden/>
    <w:unhideWhenUsed/>
    <w:rsid w:val="00372020"/>
    <w:pPr>
      <w:spacing w:before="0"/>
      <w:ind w:left="1980" w:hanging="220"/>
    </w:pPr>
  </w:style>
  <w:style w:type="paragraph" w:styleId="IndexHeading">
    <w:name w:val="index heading"/>
    <w:basedOn w:val="Normal"/>
    <w:next w:val="Index1"/>
    <w:uiPriority w:val="99"/>
    <w:semiHidden/>
    <w:unhideWhenUsed/>
    <w:rsid w:val="00372020"/>
    <w:rPr>
      <w:rFonts w:asciiTheme="majorHAnsi" w:eastAsiaTheme="majorEastAsia" w:hAnsiTheme="majorHAnsi" w:cstheme="majorBidi"/>
      <w:b/>
      <w:bCs/>
    </w:rPr>
  </w:style>
  <w:style w:type="paragraph" w:styleId="IntenseQuote">
    <w:name w:val="Intense Quote"/>
    <w:basedOn w:val="Normal"/>
    <w:next w:val="Normal"/>
    <w:link w:val="IntenseQuoteChar"/>
    <w:uiPriority w:val="60"/>
    <w:rsid w:val="0037202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372020"/>
    <w:rPr>
      <w:rFonts w:ascii="Arial" w:eastAsia="MS Mincho" w:hAnsi="Arial"/>
      <w:i/>
      <w:iCs/>
      <w:color w:val="4F81BD" w:themeColor="accent1"/>
      <w:sz w:val="22"/>
      <w:szCs w:val="24"/>
      <w:lang w:val="de-DE" w:eastAsia="ja-JP"/>
    </w:rPr>
  </w:style>
  <w:style w:type="paragraph" w:styleId="List">
    <w:name w:val="List"/>
    <w:basedOn w:val="Normal"/>
    <w:uiPriority w:val="99"/>
    <w:semiHidden/>
    <w:unhideWhenUsed/>
    <w:rsid w:val="00372020"/>
    <w:pPr>
      <w:ind w:left="283" w:hanging="283"/>
      <w:contextualSpacing/>
    </w:pPr>
  </w:style>
  <w:style w:type="paragraph" w:styleId="List2">
    <w:name w:val="List 2"/>
    <w:basedOn w:val="Normal"/>
    <w:uiPriority w:val="99"/>
    <w:semiHidden/>
    <w:unhideWhenUsed/>
    <w:rsid w:val="00372020"/>
    <w:pPr>
      <w:ind w:left="566" w:hanging="283"/>
      <w:contextualSpacing/>
    </w:pPr>
  </w:style>
  <w:style w:type="paragraph" w:styleId="List3">
    <w:name w:val="List 3"/>
    <w:basedOn w:val="Normal"/>
    <w:uiPriority w:val="99"/>
    <w:semiHidden/>
    <w:unhideWhenUsed/>
    <w:rsid w:val="00372020"/>
    <w:pPr>
      <w:ind w:left="849" w:hanging="283"/>
      <w:contextualSpacing/>
    </w:pPr>
  </w:style>
  <w:style w:type="paragraph" w:styleId="List4">
    <w:name w:val="List 4"/>
    <w:basedOn w:val="Normal"/>
    <w:uiPriority w:val="99"/>
    <w:semiHidden/>
    <w:unhideWhenUsed/>
    <w:rsid w:val="00372020"/>
    <w:pPr>
      <w:ind w:left="1132" w:hanging="283"/>
      <w:contextualSpacing/>
    </w:pPr>
  </w:style>
  <w:style w:type="paragraph" w:styleId="List5">
    <w:name w:val="List 5"/>
    <w:basedOn w:val="Normal"/>
    <w:uiPriority w:val="99"/>
    <w:semiHidden/>
    <w:unhideWhenUsed/>
    <w:rsid w:val="00372020"/>
    <w:pPr>
      <w:ind w:left="1415" w:hanging="283"/>
      <w:contextualSpacing/>
    </w:pPr>
  </w:style>
  <w:style w:type="paragraph" w:styleId="ListBullet">
    <w:name w:val="List Bullet"/>
    <w:basedOn w:val="Normal"/>
    <w:uiPriority w:val="99"/>
    <w:unhideWhenUsed/>
    <w:rsid w:val="009E6C2A"/>
    <w:pPr>
      <w:numPr>
        <w:numId w:val="4"/>
      </w:numPr>
      <w:ind w:left="568" w:hanging="284"/>
      <w:contextualSpacing/>
    </w:pPr>
  </w:style>
  <w:style w:type="paragraph" w:styleId="ListBullet2">
    <w:name w:val="List Bullet 2"/>
    <w:basedOn w:val="Normal"/>
    <w:uiPriority w:val="99"/>
    <w:semiHidden/>
    <w:unhideWhenUsed/>
    <w:rsid w:val="00372020"/>
    <w:pPr>
      <w:numPr>
        <w:numId w:val="5"/>
      </w:numPr>
      <w:contextualSpacing/>
    </w:pPr>
  </w:style>
  <w:style w:type="paragraph" w:styleId="ListBullet3">
    <w:name w:val="List Bullet 3"/>
    <w:basedOn w:val="Normal"/>
    <w:uiPriority w:val="99"/>
    <w:semiHidden/>
    <w:unhideWhenUsed/>
    <w:rsid w:val="00372020"/>
    <w:pPr>
      <w:numPr>
        <w:numId w:val="6"/>
      </w:numPr>
      <w:contextualSpacing/>
    </w:pPr>
  </w:style>
  <w:style w:type="paragraph" w:styleId="ListBullet4">
    <w:name w:val="List Bullet 4"/>
    <w:basedOn w:val="Normal"/>
    <w:uiPriority w:val="99"/>
    <w:semiHidden/>
    <w:unhideWhenUsed/>
    <w:rsid w:val="00372020"/>
    <w:pPr>
      <w:numPr>
        <w:numId w:val="7"/>
      </w:numPr>
      <w:contextualSpacing/>
    </w:pPr>
  </w:style>
  <w:style w:type="paragraph" w:styleId="ListBullet5">
    <w:name w:val="List Bullet 5"/>
    <w:basedOn w:val="Normal"/>
    <w:uiPriority w:val="99"/>
    <w:semiHidden/>
    <w:unhideWhenUsed/>
    <w:rsid w:val="00372020"/>
    <w:pPr>
      <w:numPr>
        <w:numId w:val="8"/>
      </w:numPr>
      <w:contextualSpacing/>
    </w:pPr>
  </w:style>
  <w:style w:type="paragraph" w:styleId="ListContinue">
    <w:name w:val="List Continue"/>
    <w:basedOn w:val="Normal"/>
    <w:uiPriority w:val="99"/>
    <w:semiHidden/>
    <w:unhideWhenUsed/>
    <w:rsid w:val="00372020"/>
    <w:pPr>
      <w:spacing w:after="120"/>
      <w:ind w:left="283"/>
      <w:contextualSpacing/>
    </w:pPr>
  </w:style>
  <w:style w:type="paragraph" w:styleId="ListContinue2">
    <w:name w:val="List Continue 2"/>
    <w:basedOn w:val="Normal"/>
    <w:uiPriority w:val="99"/>
    <w:semiHidden/>
    <w:unhideWhenUsed/>
    <w:rsid w:val="00372020"/>
    <w:pPr>
      <w:spacing w:after="120"/>
      <w:ind w:left="566"/>
      <w:contextualSpacing/>
    </w:pPr>
  </w:style>
  <w:style w:type="paragraph" w:styleId="ListContinue3">
    <w:name w:val="List Continue 3"/>
    <w:basedOn w:val="Normal"/>
    <w:uiPriority w:val="99"/>
    <w:semiHidden/>
    <w:unhideWhenUsed/>
    <w:rsid w:val="00372020"/>
    <w:pPr>
      <w:spacing w:after="120"/>
      <w:ind w:left="849"/>
      <w:contextualSpacing/>
    </w:pPr>
  </w:style>
  <w:style w:type="paragraph" w:styleId="ListContinue4">
    <w:name w:val="List Continue 4"/>
    <w:basedOn w:val="Normal"/>
    <w:uiPriority w:val="99"/>
    <w:semiHidden/>
    <w:unhideWhenUsed/>
    <w:rsid w:val="00372020"/>
    <w:pPr>
      <w:spacing w:after="120"/>
      <w:ind w:left="1132"/>
      <w:contextualSpacing/>
    </w:pPr>
  </w:style>
  <w:style w:type="paragraph" w:styleId="ListContinue5">
    <w:name w:val="List Continue 5"/>
    <w:basedOn w:val="Normal"/>
    <w:uiPriority w:val="99"/>
    <w:semiHidden/>
    <w:unhideWhenUsed/>
    <w:rsid w:val="00372020"/>
    <w:pPr>
      <w:spacing w:after="120"/>
      <w:ind w:left="1415"/>
      <w:contextualSpacing/>
    </w:pPr>
  </w:style>
  <w:style w:type="paragraph" w:styleId="ListNumber">
    <w:name w:val="List Number"/>
    <w:basedOn w:val="Normal"/>
    <w:uiPriority w:val="99"/>
    <w:unhideWhenUsed/>
    <w:rsid w:val="00F93118"/>
    <w:pPr>
      <w:numPr>
        <w:numId w:val="9"/>
      </w:numPr>
      <w:spacing w:before="0"/>
      <w:ind w:left="568" w:hanging="284"/>
      <w:contextualSpacing/>
    </w:pPr>
  </w:style>
  <w:style w:type="paragraph" w:styleId="ListNumber2">
    <w:name w:val="List Number 2"/>
    <w:basedOn w:val="Normal"/>
    <w:uiPriority w:val="99"/>
    <w:semiHidden/>
    <w:unhideWhenUsed/>
    <w:rsid w:val="00372020"/>
    <w:pPr>
      <w:numPr>
        <w:numId w:val="10"/>
      </w:numPr>
      <w:contextualSpacing/>
    </w:pPr>
  </w:style>
  <w:style w:type="paragraph" w:styleId="ListNumber3">
    <w:name w:val="List Number 3"/>
    <w:basedOn w:val="Normal"/>
    <w:uiPriority w:val="99"/>
    <w:semiHidden/>
    <w:unhideWhenUsed/>
    <w:rsid w:val="00372020"/>
    <w:pPr>
      <w:numPr>
        <w:numId w:val="11"/>
      </w:numPr>
      <w:contextualSpacing/>
    </w:pPr>
  </w:style>
  <w:style w:type="paragraph" w:styleId="ListNumber4">
    <w:name w:val="List Number 4"/>
    <w:basedOn w:val="Normal"/>
    <w:uiPriority w:val="99"/>
    <w:semiHidden/>
    <w:unhideWhenUsed/>
    <w:rsid w:val="00372020"/>
    <w:pPr>
      <w:numPr>
        <w:numId w:val="12"/>
      </w:numPr>
      <w:contextualSpacing/>
    </w:pPr>
  </w:style>
  <w:style w:type="paragraph" w:styleId="ListNumber5">
    <w:name w:val="List Number 5"/>
    <w:basedOn w:val="Normal"/>
    <w:uiPriority w:val="99"/>
    <w:semiHidden/>
    <w:unhideWhenUsed/>
    <w:rsid w:val="00372020"/>
    <w:pPr>
      <w:numPr>
        <w:numId w:val="13"/>
      </w:numPr>
      <w:contextualSpacing/>
    </w:pPr>
  </w:style>
  <w:style w:type="paragraph" w:styleId="MacroText">
    <w:name w:val="macro"/>
    <w:link w:val="MacroTextChar"/>
    <w:uiPriority w:val="99"/>
    <w:semiHidden/>
    <w:unhideWhenUsed/>
    <w:rsid w:val="00372020"/>
    <w:pPr>
      <w:tabs>
        <w:tab w:val="left" w:pos="480"/>
        <w:tab w:val="left" w:pos="960"/>
        <w:tab w:val="left" w:pos="1440"/>
        <w:tab w:val="left" w:pos="1920"/>
        <w:tab w:val="left" w:pos="2400"/>
        <w:tab w:val="left" w:pos="2880"/>
        <w:tab w:val="left" w:pos="3360"/>
        <w:tab w:val="left" w:pos="3840"/>
        <w:tab w:val="left" w:pos="4320"/>
      </w:tabs>
      <w:spacing w:before="120"/>
    </w:pPr>
    <w:rPr>
      <w:rFonts w:ascii="Consolas" w:eastAsia="MS Mincho" w:hAnsi="Consolas"/>
      <w:lang w:val="de-DE" w:eastAsia="ja-JP"/>
    </w:rPr>
  </w:style>
  <w:style w:type="character" w:customStyle="1" w:styleId="MacroTextChar">
    <w:name w:val="Macro Text Char"/>
    <w:basedOn w:val="DefaultParagraphFont"/>
    <w:link w:val="MacroText"/>
    <w:uiPriority w:val="99"/>
    <w:semiHidden/>
    <w:rsid w:val="00372020"/>
    <w:rPr>
      <w:rFonts w:ascii="Consolas" w:eastAsia="MS Mincho" w:hAnsi="Consolas"/>
      <w:lang w:val="de-DE" w:eastAsia="ja-JP"/>
    </w:rPr>
  </w:style>
  <w:style w:type="paragraph" w:styleId="MessageHeader">
    <w:name w:val="Message Header"/>
    <w:basedOn w:val="Normal"/>
    <w:link w:val="MessageHeaderChar"/>
    <w:uiPriority w:val="99"/>
    <w:semiHidden/>
    <w:unhideWhenUsed/>
    <w:rsid w:val="00372020"/>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72020"/>
    <w:rPr>
      <w:rFonts w:asciiTheme="majorHAnsi" w:eastAsiaTheme="majorEastAsia" w:hAnsiTheme="majorHAnsi" w:cstheme="majorBidi"/>
      <w:sz w:val="24"/>
      <w:szCs w:val="24"/>
      <w:shd w:val="pct20" w:color="auto" w:fill="auto"/>
      <w:lang w:val="de-DE" w:eastAsia="ja-JP"/>
    </w:rPr>
  </w:style>
  <w:style w:type="paragraph" w:styleId="NoSpacing">
    <w:name w:val="No Spacing"/>
    <w:aliases w:val="caption"/>
    <w:uiPriority w:val="1"/>
    <w:qFormat/>
    <w:rsid w:val="001908CC"/>
    <w:pPr>
      <w:spacing w:after="120"/>
    </w:pPr>
    <w:rPr>
      <w:rFonts w:ascii="Arial" w:eastAsia="MS Mincho" w:hAnsi="Arial"/>
      <w:sz w:val="22"/>
      <w:szCs w:val="24"/>
      <w:lang w:val="de-DE" w:eastAsia="ja-JP"/>
    </w:rPr>
  </w:style>
  <w:style w:type="paragraph" w:styleId="NormalWeb">
    <w:name w:val="Normal (Web)"/>
    <w:basedOn w:val="Normal"/>
    <w:uiPriority w:val="99"/>
    <w:semiHidden/>
    <w:unhideWhenUsed/>
    <w:rsid w:val="00372020"/>
    <w:rPr>
      <w:rFonts w:ascii="Times New Roman" w:hAnsi="Times New Roman"/>
      <w:sz w:val="24"/>
    </w:rPr>
  </w:style>
  <w:style w:type="paragraph" w:styleId="NormalIndent">
    <w:name w:val="Normal Indent"/>
    <w:basedOn w:val="Normal"/>
    <w:uiPriority w:val="99"/>
    <w:semiHidden/>
    <w:unhideWhenUsed/>
    <w:rsid w:val="00372020"/>
    <w:pPr>
      <w:ind w:left="720"/>
    </w:pPr>
  </w:style>
  <w:style w:type="paragraph" w:styleId="NoteHeading">
    <w:name w:val="Note Heading"/>
    <w:basedOn w:val="Normal"/>
    <w:next w:val="Normal"/>
    <w:link w:val="NoteHeadingChar"/>
    <w:uiPriority w:val="99"/>
    <w:semiHidden/>
    <w:unhideWhenUsed/>
    <w:rsid w:val="00372020"/>
    <w:pPr>
      <w:spacing w:before="0"/>
    </w:pPr>
  </w:style>
  <w:style w:type="character" w:customStyle="1" w:styleId="NoteHeadingChar">
    <w:name w:val="Note Heading Char"/>
    <w:basedOn w:val="DefaultParagraphFont"/>
    <w:link w:val="NoteHeading"/>
    <w:uiPriority w:val="99"/>
    <w:semiHidden/>
    <w:rsid w:val="00372020"/>
    <w:rPr>
      <w:rFonts w:ascii="Arial" w:eastAsia="MS Mincho" w:hAnsi="Arial"/>
      <w:sz w:val="22"/>
      <w:szCs w:val="24"/>
      <w:lang w:val="de-DE" w:eastAsia="ja-JP"/>
    </w:rPr>
  </w:style>
  <w:style w:type="paragraph" w:styleId="PlainText">
    <w:name w:val="Plain Text"/>
    <w:basedOn w:val="Normal"/>
    <w:link w:val="PlainTextChar"/>
    <w:uiPriority w:val="99"/>
    <w:semiHidden/>
    <w:unhideWhenUsed/>
    <w:rsid w:val="00372020"/>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72020"/>
    <w:rPr>
      <w:rFonts w:ascii="Consolas" w:eastAsia="MS Mincho" w:hAnsi="Consolas"/>
      <w:sz w:val="21"/>
      <w:szCs w:val="21"/>
      <w:lang w:val="de-DE" w:eastAsia="ja-JP"/>
    </w:rPr>
  </w:style>
  <w:style w:type="paragraph" w:styleId="Quote">
    <w:name w:val="Quote"/>
    <w:basedOn w:val="Normal"/>
    <w:next w:val="Normal"/>
    <w:link w:val="QuoteChar"/>
    <w:uiPriority w:val="73"/>
    <w:rsid w:val="003720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73"/>
    <w:rsid w:val="00372020"/>
    <w:rPr>
      <w:rFonts w:ascii="Arial" w:eastAsia="MS Mincho" w:hAnsi="Arial"/>
      <w:i/>
      <w:iCs/>
      <w:color w:val="404040" w:themeColor="text1" w:themeTint="BF"/>
      <w:sz w:val="22"/>
      <w:szCs w:val="24"/>
      <w:lang w:val="de-DE" w:eastAsia="ja-JP"/>
    </w:rPr>
  </w:style>
  <w:style w:type="paragraph" w:styleId="Salutation">
    <w:name w:val="Salutation"/>
    <w:basedOn w:val="Normal"/>
    <w:next w:val="Normal"/>
    <w:link w:val="SalutationChar"/>
    <w:uiPriority w:val="99"/>
    <w:semiHidden/>
    <w:unhideWhenUsed/>
    <w:rsid w:val="00372020"/>
  </w:style>
  <w:style w:type="character" w:customStyle="1" w:styleId="SalutationChar">
    <w:name w:val="Salutation Char"/>
    <w:basedOn w:val="DefaultParagraphFont"/>
    <w:link w:val="Salutation"/>
    <w:uiPriority w:val="99"/>
    <w:semiHidden/>
    <w:rsid w:val="00372020"/>
    <w:rPr>
      <w:rFonts w:ascii="Arial" w:eastAsia="MS Mincho" w:hAnsi="Arial"/>
      <w:sz w:val="22"/>
      <w:szCs w:val="24"/>
      <w:lang w:val="de-DE" w:eastAsia="ja-JP"/>
    </w:rPr>
  </w:style>
  <w:style w:type="paragraph" w:styleId="Signature">
    <w:name w:val="Signature"/>
    <w:basedOn w:val="Normal"/>
    <w:link w:val="SignatureChar"/>
    <w:uiPriority w:val="99"/>
    <w:semiHidden/>
    <w:unhideWhenUsed/>
    <w:rsid w:val="00372020"/>
    <w:pPr>
      <w:spacing w:before="0"/>
      <w:ind w:left="4252"/>
    </w:pPr>
  </w:style>
  <w:style w:type="character" w:customStyle="1" w:styleId="SignatureChar">
    <w:name w:val="Signature Char"/>
    <w:basedOn w:val="DefaultParagraphFont"/>
    <w:link w:val="Signature"/>
    <w:uiPriority w:val="99"/>
    <w:semiHidden/>
    <w:rsid w:val="00372020"/>
    <w:rPr>
      <w:rFonts w:ascii="Arial" w:eastAsia="MS Mincho" w:hAnsi="Arial"/>
      <w:sz w:val="22"/>
      <w:szCs w:val="24"/>
      <w:lang w:val="de-DE" w:eastAsia="ja-JP"/>
    </w:rPr>
  </w:style>
  <w:style w:type="paragraph" w:styleId="Subtitle">
    <w:name w:val="Subtitle"/>
    <w:basedOn w:val="Normal"/>
    <w:next w:val="Normal"/>
    <w:link w:val="SubtitleChar"/>
    <w:uiPriority w:val="11"/>
    <w:qFormat/>
    <w:rsid w:val="00372020"/>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72020"/>
    <w:rPr>
      <w:rFonts w:asciiTheme="minorHAnsi" w:eastAsiaTheme="minorEastAsia" w:hAnsiTheme="minorHAnsi" w:cstheme="minorBidi"/>
      <w:color w:val="5A5A5A" w:themeColor="text1" w:themeTint="A5"/>
      <w:spacing w:val="15"/>
      <w:sz w:val="22"/>
      <w:szCs w:val="22"/>
      <w:lang w:val="de-DE" w:eastAsia="ja-JP"/>
    </w:rPr>
  </w:style>
  <w:style w:type="paragraph" w:styleId="TableofAuthorities">
    <w:name w:val="table of authorities"/>
    <w:basedOn w:val="Normal"/>
    <w:next w:val="Normal"/>
    <w:uiPriority w:val="99"/>
    <w:semiHidden/>
    <w:unhideWhenUsed/>
    <w:rsid w:val="00372020"/>
    <w:pPr>
      <w:ind w:left="220" w:hanging="220"/>
    </w:pPr>
  </w:style>
  <w:style w:type="paragraph" w:styleId="TableofFigures">
    <w:name w:val="table of figures"/>
    <w:basedOn w:val="Normal"/>
    <w:next w:val="Normal"/>
    <w:uiPriority w:val="99"/>
    <w:semiHidden/>
    <w:unhideWhenUsed/>
    <w:rsid w:val="00372020"/>
  </w:style>
  <w:style w:type="paragraph" w:styleId="Title">
    <w:name w:val="Title"/>
    <w:basedOn w:val="Normal"/>
    <w:next w:val="Normal"/>
    <w:link w:val="TitleChar"/>
    <w:uiPriority w:val="10"/>
    <w:qFormat/>
    <w:rsid w:val="006F4A7F"/>
    <w:pPr>
      <w:spacing w:before="240" w:after="24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6F4A7F"/>
    <w:rPr>
      <w:rFonts w:ascii="Arial" w:eastAsiaTheme="majorEastAsia" w:hAnsi="Arial" w:cstheme="majorBidi"/>
      <w:b/>
      <w:spacing w:val="-10"/>
      <w:kern w:val="28"/>
      <w:sz w:val="22"/>
      <w:szCs w:val="56"/>
      <w:lang w:val="de-DE" w:eastAsia="ja-JP"/>
    </w:rPr>
  </w:style>
  <w:style w:type="paragraph" w:styleId="TOAHeading">
    <w:name w:val="toa heading"/>
    <w:basedOn w:val="Normal"/>
    <w:next w:val="Normal"/>
    <w:uiPriority w:val="99"/>
    <w:semiHidden/>
    <w:unhideWhenUsed/>
    <w:rsid w:val="00372020"/>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372020"/>
    <w:pPr>
      <w:spacing w:after="100"/>
    </w:pPr>
  </w:style>
  <w:style w:type="paragraph" w:styleId="TOC2">
    <w:name w:val="toc 2"/>
    <w:basedOn w:val="Normal"/>
    <w:next w:val="Normal"/>
    <w:autoRedefine/>
    <w:uiPriority w:val="39"/>
    <w:semiHidden/>
    <w:unhideWhenUsed/>
    <w:rsid w:val="00372020"/>
    <w:pPr>
      <w:spacing w:after="100"/>
      <w:ind w:left="220"/>
    </w:pPr>
  </w:style>
  <w:style w:type="paragraph" w:styleId="TOC3">
    <w:name w:val="toc 3"/>
    <w:basedOn w:val="Normal"/>
    <w:next w:val="Normal"/>
    <w:autoRedefine/>
    <w:uiPriority w:val="39"/>
    <w:semiHidden/>
    <w:unhideWhenUsed/>
    <w:rsid w:val="00372020"/>
    <w:pPr>
      <w:spacing w:after="100"/>
      <w:ind w:left="440"/>
    </w:pPr>
  </w:style>
  <w:style w:type="paragraph" w:styleId="TOC4">
    <w:name w:val="toc 4"/>
    <w:basedOn w:val="Normal"/>
    <w:next w:val="Normal"/>
    <w:autoRedefine/>
    <w:uiPriority w:val="39"/>
    <w:semiHidden/>
    <w:unhideWhenUsed/>
    <w:rsid w:val="00372020"/>
    <w:pPr>
      <w:spacing w:after="100"/>
      <w:ind w:left="660"/>
    </w:pPr>
  </w:style>
  <w:style w:type="paragraph" w:styleId="TOC5">
    <w:name w:val="toc 5"/>
    <w:basedOn w:val="Normal"/>
    <w:next w:val="Normal"/>
    <w:autoRedefine/>
    <w:uiPriority w:val="39"/>
    <w:semiHidden/>
    <w:unhideWhenUsed/>
    <w:rsid w:val="00372020"/>
    <w:pPr>
      <w:spacing w:after="100"/>
      <w:ind w:left="880"/>
    </w:pPr>
  </w:style>
  <w:style w:type="paragraph" w:styleId="TOC6">
    <w:name w:val="toc 6"/>
    <w:basedOn w:val="Normal"/>
    <w:next w:val="Normal"/>
    <w:autoRedefine/>
    <w:uiPriority w:val="39"/>
    <w:semiHidden/>
    <w:unhideWhenUsed/>
    <w:rsid w:val="00372020"/>
    <w:pPr>
      <w:spacing w:after="100"/>
      <w:ind w:left="1100"/>
    </w:pPr>
  </w:style>
  <w:style w:type="paragraph" w:styleId="TOC7">
    <w:name w:val="toc 7"/>
    <w:basedOn w:val="Normal"/>
    <w:next w:val="Normal"/>
    <w:autoRedefine/>
    <w:uiPriority w:val="39"/>
    <w:semiHidden/>
    <w:unhideWhenUsed/>
    <w:rsid w:val="00372020"/>
    <w:pPr>
      <w:spacing w:after="100"/>
      <w:ind w:left="1320"/>
    </w:pPr>
  </w:style>
  <w:style w:type="paragraph" w:styleId="TOC8">
    <w:name w:val="toc 8"/>
    <w:basedOn w:val="Normal"/>
    <w:next w:val="Normal"/>
    <w:autoRedefine/>
    <w:uiPriority w:val="39"/>
    <w:semiHidden/>
    <w:unhideWhenUsed/>
    <w:rsid w:val="00372020"/>
    <w:pPr>
      <w:spacing w:after="100"/>
      <w:ind w:left="1540"/>
    </w:pPr>
  </w:style>
  <w:style w:type="paragraph" w:styleId="TOC9">
    <w:name w:val="toc 9"/>
    <w:basedOn w:val="Normal"/>
    <w:next w:val="Normal"/>
    <w:autoRedefine/>
    <w:uiPriority w:val="39"/>
    <w:semiHidden/>
    <w:unhideWhenUsed/>
    <w:rsid w:val="00372020"/>
    <w:pPr>
      <w:spacing w:after="100"/>
      <w:ind w:left="1760"/>
    </w:pPr>
  </w:style>
  <w:style w:type="paragraph" w:styleId="TOCHeading">
    <w:name w:val="TOC Heading"/>
    <w:basedOn w:val="Heading1"/>
    <w:next w:val="Normal"/>
    <w:uiPriority w:val="99"/>
    <w:rsid w:val="00372020"/>
    <w:pPr>
      <w:outlineLvl w:val="9"/>
    </w:pPr>
    <w:rPr>
      <w:rFonts w:asciiTheme="majorHAnsi" w:eastAsiaTheme="majorEastAsia" w:hAnsiTheme="majorHAnsi" w:cstheme="majorBidi"/>
      <w:b w:val="0"/>
      <w:bCs w:val="0"/>
      <w:color w:val="365F91" w:themeColor="accent1" w:themeShade="BF"/>
      <w:sz w:val="32"/>
      <w:szCs w:val="32"/>
      <w:lang w:val="de-DE"/>
    </w:rPr>
  </w:style>
  <w:style w:type="table" w:styleId="TableGrid">
    <w:name w:val="Table Grid"/>
    <w:basedOn w:val="TableNormal"/>
    <w:uiPriority w:val="39"/>
    <w:rsid w:val="002F6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qFormat/>
    <w:rsid w:val="009E6C2A"/>
    <w:pPr>
      <w:spacing w:before="160" w:after="160"/>
      <w:jc w:val="center"/>
    </w:pPr>
    <w:rPr>
      <w:rFonts w:eastAsia="Times New Roman" w:cs="Arial"/>
      <w:bCs/>
      <w:szCs w:val="22"/>
      <w:lang w:val="en-GB" w:eastAsia="de-DE"/>
    </w:rPr>
  </w:style>
  <w:style w:type="paragraph" w:customStyle="1" w:styleId="Email">
    <w:name w:val="Email"/>
    <w:basedOn w:val="Normal"/>
    <w:qFormat/>
    <w:rsid w:val="009E6C2A"/>
    <w:pPr>
      <w:spacing w:before="0"/>
      <w:jc w:val="center"/>
    </w:pPr>
    <w:rPr>
      <w:rFonts w:cs="Arial"/>
      <w:iCs/>
      <w:szCs w:val="22"/>
      <w:lang w:val="en-GB"/>
    </w:rPr>
  </w:style>
  <w:style w:type="paragraph" w:customStyle="1" w:styleId="Figure">
    <w:name w:val="Figure"/>
    <w:basedOn w:val="Normal"/>
    <w:next w:val="Caption"/>
    <w:qFormat/>
    <w:rsid w:val="00551512"/>
    <w:pPr>
      <w:spacing w:before="240" w:after="160"/>
      <w:jc w:val="center"/>
    </w:pPr>
    <w:rPr>
      <w:szCs w:val="22"/>
    </w:rPr>
  </w:style>
  <w:style w:type="character" w:styleId="UnresolvedMention">
    <w:name w:val="Unresolved Mention"/>
    <w:basedOn w:val="DefaultParagraphFont"/>
    <w:uiPriority w:val="99"/>
    <w:semiHidden/>
    <w:unhideWhenUsed/>
    <w:rsid w:val="00EC322D"/>
    <w:rPr>
      <w:color w:val="605E5C"/>
      <w:shd w:val="clear" w:color="auto" w:fill="E1DFDD"/>
    </w:rPr>
  </w:style>
  <w:style w:type="character" w:styleId="Strong">
    <w:name w:val="Strong"/>
    <w:basedOn w:val="DefaultParagraphFont"/>
    <w:uiPriority w:val="22"/>
    <w:qFormat/>
    <w:rsid w:val="005D3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45024">
      <w:bodyDiv w:val="1"/>
      <w:marLeft w:val="0"/>
      <w:marRight w:val="0"/>
      <w:marTop w:val="0"/>
      <w:marBottom w:val="0"/>
      <w:divBdr>
        <w:top w:val="none" w:sz="0" w:space="0" w:color="auto"/>
        <w:left w:val="none" w:sz="0" w:space="0" w:color="auto"/>
        <w:bottom w:val="none" w:sz="0" w:space="0" w:color="auto"/>
        <w:right w:val="none" w:sz="0" w:space="0" w:color="auto"/>
      </w:divBdr>
    </w:div>
    <w:div w:id="533154855">
      <w:bodyDiv w:val="1"/>
      <w:marLeft w:val="0"/>
      <w:marRight w:val="0"/>
      <w:marTop w:val="0"/>
      <w:marBottom w:val="0"/>
      <w:divBdr>
        <w:top w:val="none" w:sz="0" w:space="0" w:color="auto"/>
        <w:left w:val="none" w:sz="0" w:space="0" w:color="auto"/>
        <w:bottom w:val="none" w:sz="0" w:space="0" w:color="auto"/>
        <w:right w:val="none" w:sz="0" w:space="0" w:color="auto"/>
      </w:divBdr>
    </w:div>
    <w:div w:id="1171944876">
      <w:bodyDiv w:val="1"/>
      <w:marLeft w:val="0"/>
      <w:marRight w:val="0"/>
      <w:marTop w:val="0"/>
      <w:marBottom w:val="0"/>
      <w:divBdr>
        <w:top w:val="none" w:sz="0" w:space="0" w:color="auto"/>
        <w:left w:val="none" w:sz="0" w:space="0" w:color="auto"/>
        <w:bottom w:val="none" w:sz="0" w:space="0" w:color="auto"/>
        <w:right w:val="none" w:sz="0" w:space="0" w:color="auto"/>
      </w:divBdr>
    </w:div>
    <w:div w:id="1172835361">
      <w:bodyDiv w:val="1"/>
      <w:marLeft w:val="0"/>
      <w:marRight w:val="0"/>
      <w:marTop w:val="0"/>
      <w:marBottom w:val="0"/>
      <w:divBdr>
        <w:top w:val="none" w:sz="0" w:space="0" w:color="auto"/>
        <w:left w:val="none" w:sz="0" w:space="0" w:color="auto"/>
        <w:bottom w:val="none" w:sz="0" w:space="0" w:color="auto"/>
        <w:right w:val="none" w:sz="0" w:space="0" w:color="auto"/>
      </w:divBdr>
    </w:div>
    <w:div w:id="1375230366">
      <w:bodyDiv w:val="1"/>
      <w:marLeft w:val="0"/>
      <w:marRight w:val="0"/>
      <w:marTop w:val="0"/>
      <w:marBottom w:val="0"/>
      <w:divBdr>
        <w:top w:val="none" w:sz="0" w:space="0" w:color="auto"/>
        <w:left w:val="none" w:sz="0" w:space="0" w:color="auto"/>
        <w:bottom w:val="none" w:sz="0" w:space="0" w:color="auto"/>
        <w:right w:val="none" w:sz="0" w:space="0" w:color="auto"/>
      </w:divBdr>
    </w:div>
    <w:div w:id="1714454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2C56-776C-1A42-92D1-064DAFC6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5994</Words>
  <Characters>34167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40081</CharactersWithSpaces>
  <SharedDoc>false</SharedDoc>
  <HLinks>
    <vt:vector size="18" baseType="variant">
      <vt:variant>
        <vt:i4>2555927</vt:i4>
      </vt:variant>
      <vt:variant>
        <vt:i4>48</vt:i4>
      </vt:variant>
      <vt:variant>
        <vt:i4>0</vt:i4>
      </vt:variant>
      <vt:variant>
        <vt:i4>5</vt:i4>
      </vt:variant>
      <vt:variant>
        <vt:lpwstr>http://apvi.org.au/solar-research-conference/proceedings-from-past-conferences/</vt:lpwstr>
      </vt:variant>
      <vt:variant>
        <vt:lpwstr/>
      </vt:variant>
      <vt:variant>
        <vt:i4>6619146</vt:i4>
      </vt:variant>
      <vt:variant>
        <vt:i4>45</vt:i4>
      </vt:variant>
      <vt:variant>
        <vt:i4>0</vt:i4>
      </vt:variant>
      <vt:variant>
        <vt:i4>5</vt:i4>
      </vt:variant>
      <vt:variant>
        <vt:lpwstr>mailto:presenting.author@mymail.ok</vt:lpwstr>
      </vt:variant>
      <vt:variant>
        <vt:lpwstr/>
      </vt:variant>
      <vt:variant>
        <vt:i4>851988</vt:i4>
      </vt:variant>
      <vt:variant>
        <vt:i4>42</vt:i4>
      </vt:variant>
      <vt:variant>
        <vt:i4>0</vt:i4>
      </vt:variant>
      <vt:variant>
        <vt:i4>5</vt:i4>
      </vt:variant>
      <vt:variant>
        <vt:lpwstr>https://www.dropbox.com/request/R37V6dEeiJsM61eE7p1M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Abrahams</dc:creator>
  <cp:keywords/>
  <dc:description/>
  <cp:lastModifiedBy>Hanrong Huang</cp:lastModifiedBy>
  <cp:revision>8</cp:revision>
  <cp:lastPrinted>2020-05-23T23:39:00Z</cp:lastPrinted>
  <dcterms:created xsi:type="dcterms:W3CDTF">2024-06-20T07:34:00Z</dcterms:created>
  <dcterms:modified xsi:type="dcterms:W3CDTF">2024-07-01T10:08:00Z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id="Oq4c8AcK"/&gt;&lt;style id="http://www.zotero.org/styles/journal-of-cleaner-production" hasBibliography="1" bibliographyStyleHasBeenSet="1"/&gt;&lt;prefs&gt;&lt;pref name="fieldType" value="Field"/&gt;&lt;/prefs&gt;&lt;/data&gt;</vt:lpwstr>
  </property>
</Properties>
</file>