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SDP</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Modellbasert utvikling</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Forslag til studie</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EIER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Hans-Einar</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DOKUMENTDATO</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15.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Utarbeidet av</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Assistent, fra Hans-Einars mandat</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Til eiergjennomgang; ikke godkjent</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Grunnlag</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SDL-MANDATE-STUDY-001 rev 0.1, 14. september 2026</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Omfang</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Metode, designmodell og kontrollert implementasjon</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  Sammendrag</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Vi vil utvikle en standardisert metode og et maskinlesbart designspråk for programvareprosjekter der agenter skriver og vedlikeholder koden. Modellen skal beskrive hensikt, ansvar, kontrakter og sammenhenger på flere nivåer, og gi eier og agenter et presist grunnlag for endringer.</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Mandatet er å kombinere kontrollerte faseoverganger med løpende læring. Arkitekturen og verktøykjeden nedenfor er forslag til undersøkelse, ikke et valgt språk eller en ferdig løsning. Modellen skal ikke være en digital tvilling av alle implementeringsdetaljer. Kontroller skal oppgi hva de dekker og hva som fortsatt er ukjent.</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Mål og avgrensning</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Mål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Avgrensning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Rask oversikt på flere granularitetsnivåer</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Ingen manuell kopi av alle klasser og kodelinjer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Design-diff og berørte forløp før kodeendring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Ingen automatisk antakelse om komplett impact-analyse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Læring og eksplisitte Concept/MVP-overganger</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Ikke et låst engangsdesign for produktets levetid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Etterprøvbart samsvar med avtalte egenskaper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Ingen generell garanti om full atferdsekvivalens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Bakgrunn og problem</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Eierens erfaring er at lokale endringer ofte overser det som må til for at en Feature virker gjennom hele systemet. Nye reparasjoner gjøres med samme tunnelsyn. Ansvar flyttes, biblioteker omgås og designet divergerer, mens lokale tester kan fortsette å passere.</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SDP #5 / PR #6 er akseptert studiegrunnlag. #7 / PR #8 er en foreløpig pilotkontrakt; #9 koordinerer videre retning; #10 og draft PR #11 inneholder modellinnspill og en katalog med 32 språk og notasjoner. Status er dokumentert 14. september 2026. Feature, Refactor og reell Fix beholder eierskapet til intensjonen; Slices er vertikale gjennomføringsenheter.</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4  Foreslått arkitektur</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SDP modellflyt" descr="Foreslått modellflyt fra B og T til diff, oppdragsutsnitt, implementasjon og uavhengig kodeobservasjon O."/>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 1. Foreslått flyt fra designkode og kodefakta til oppdragsgrunnlag og kontroll.</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Foreslåtte ansvarsområder</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Ansvar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Grunnlag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Ved feil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Modellkjerne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Identitet, struktur, relasjoner og kontrakter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Designkode og refererte kontrakter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Vis ugyldige eller uløste referanser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Diff og analyse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Endringer, påvirkning og rest-diff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 T og analysereregler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Marker ukjent eller tvetydig mapping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Kodeobservasjon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Uavhengig uttrekk av kodefakta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Kilde, build og konfigurasjon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Rapporter manglende dekning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Generator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Views og oppdragsutsnitt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Modellrevisjon og utsnittsregler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Avvis foreldet grunnlag</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Kontroll og evidens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Samsvar og Feature-witnesses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 regler og testresultater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Skill avvik fra ukjent resultat</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5  Endringsforløp og faser</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Bekreft oppdraget, godkjent designbaseline B, kildebaseline og kjente avvik. Behov og bevaringskrav skal være tydelige.</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Undersøk berørte Features, Functionalities, Channels og konsumenter horisontalt. Manglende wiring og ukjent dekning registreres.</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Beskriv foreslått design T før en designendrende implementasjon. Velg ordinær revisjon, ny fasegjennomføring eller faseovergang.</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Generer semantisk diff B → T og avledede forpliktelser. Gi hver endring en identitet, ansvarlig behandling og akseptkriterier.</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Planlegg små vertikale Slices og lag oppdragsutsnitt til Worker og Verifier med samme kontraktgrunnlag og nødvendige naboer.</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Implementer innenfor avtalte grenser. Stopp ved gjentatt feil uten ny forklaring, ny berørt grense eller overskredet rework-budsjett.</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Kontroller faktisk integrasjon og Feature-forløp. Registrer evidens, beslutning og gjenstående arbeid før gjeldende pekere oppdateres.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Concept1 kan gå videre til Concept2 med ny arkitektur, eller med en annen implementasjon av samme design. Det kan også gå direkte til MVP1. Hver gjennomføring får identifiserbart source tree og designgrunnlag; dette krever ikke automatisk et nytt repository.</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Lærdom bevares før neste design avgjøres: observasjon, evidens, konsekvens, ønsket egenskap, alternativer og senere disposisjon. «Domenet må kunne testes uten UI» er et læringsbehov, ikke allerede et vedtak om en separat presentasjonsprosess.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Store endringer i ansvar, offentlige kontrakter, dataeierskap eller prosessgrenser krever en fasebeslutning. Mindre rettelser innenfor godkjente kontrakter kan være ordinære revisjoner. Eksakte terskler er åpne.</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6  Modell og datakontrakter</w:t>
      </w:r>
    </w:p>
    <w:p w14:paraId="00000064">
      <w:pPr>
        <w:pStyle w:val="Heading3"/>
        <w:spacing w:after="90" w:line="280" w:lineRule="auto"/>
        <w:rPr/>
      </w:pPr>
      <w:bookmarkStart w:colFirst="0" w:colLast="0" w:name="_heading=h.tw1sfexklg0y" w:id="4"/>
      <w:bookmarkEnd w:id="4"/>
      <w:r>
        <w:rPr>
          <w:rtl w:val="0"/>
        </w:rPr>
        <w:t xml:space="preserve">Foreslått minimum for et oppdragsutsnitt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Felt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Innholdstype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Behov</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Betydning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oppdrag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Identitet og mål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Alltid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Behov, omfang og tillatt arbeid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baseline og mål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Revisjoner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Alltid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 og T holdes adskilt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kodegrunnlag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Commit og variant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Ved kodekontroll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Hva som faktisk ble undersøkt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designobjekter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ID-er og relasjoner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Alltid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Feature, Functionality og Channel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kontrakter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Referanser og regler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Ved berøring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Ansvar, enheter, feil og kompatibilitet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aksept og evidens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Kontroller og referanser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Alltid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Bevaringskrav og observerbart resultat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grenser og ukjent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Policy og avvik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Alltid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Stoppregler og uavklart dekning</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Semantiske regler</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 er godkjent design, T er et forslag og O er observerte fakta. O mot B viser avvik; O mot T viser gjenstående arbeid innenfor kjent dekning.</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Total-diff inneholder alle oppdagede modelldeltaer. Objektvisninger kan overlappe. Rest-diff er det som ikke er forklart gjennom de valgte objektene.</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Hver kontroll angir egenskap, metode, verktøyversjon, kilde eller build, konfigurasjon og evidens. Ukjent dekning blir ikke et grønt resultat.</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Observasjoner og annotasjoner kan ikke endre godkjent design automatisk. En endring av selve kontrollgrunnlaget skal være eksplisitt.</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Ingen API, serialisering eller versjonert schema er vedtatt.</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Språkkatalogen i SystemDesignLanguage/research er underlag for en sammenligning før grensesnitt og lagringsformat velges.</w:t>
        </w:r>
      </w:hyperlink>
      <w:r>
        <w:rPr>
          <w:rFonts w:ascii="Helvetica Neue" w:cs="Helvetica Neue" w:eastAsia="Helvetica Neue" w:hAnsi="Helvetica Neue"/>
          <w:color w:val="233447"/>
          <w:rtl w:val="0"/>
        </w:rPr>
        <w:t xml:space="preserve"/>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Feature beskriver en varig kapabilitet. Functionality er en kandidat for et atferdsansvar som kan inngå i flere Features. Channel beskriver kommunikasjon med protokoll og kontrakt. Objektene kobles til komponenter og designbestanddeler på tvers av strukturen; de er ikke isolerte kopier av den.</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Hypotetisk prøve: CH-MEASUREMENT endres fra millimeter til meter, mens FEAT-LENGTH fortsatt skal vise centimeter. Talltypen kan være uendret, men både klientadapter og historikklagring må vurderes. En kjent verdi skal kontrolleres helt frem til faktisk presentasjon og lagring.</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7  Konsistens og reproduksjon</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Forslag: Analyse og generering skal være bundet til identifiserte input og regler. Samme grunnlag bør gi samme semantiske resultat. Git lagrer revisjonene; eksplisitt ansvarsmapping forklarer rename, flytting, split og merge. Samtidig arbeid må samordnes med #7s foreløpige scope- og identitetsregler.</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Foreslått behandling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Begrunnelse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Samme input analyseres igjen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Samme semantiske resultat; identifisert regelversjon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Unngår at generering blir en ny autoritet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Parser eller uttrekk feiler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Resultat blir ukjent eller feilet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Ingen tom rapport tolkes som samsvar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Delvis implementasjon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Vis gjenstående ansvar og kontrollbehov</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Lokalt testpass er ikke Feature-aksept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Modell eller kodegrunnlag endres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Marker oppdragsutsnitt som foreldet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Forhindrer blanding av revisjoner</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Myndighet og datagrenser</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Mandat: Worker implementerer innenfor godkjente rammer. Store arkitektur- og designendringer går gjennom en definert beslutning.</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Forslag: Oppdragsutsnitt tar bare med relevant kontekst. Modell, kildeuttrekk og evidens kan inneholde prosjektinformasjon og trenger passende tilgang.</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Ikke avklart: autentisering, hemmelighetshåndtering og lagringsmiljø avhenger av om løsningen blir lokal eller tilbys som tjeneste.</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Forslag: Analyse er lesende som utgangspunkt. Migrasjon og automatisk reparasjon må ha egne kontrakter og myndighetsgrenser.</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Åpent: konkrete regler for retention, sletting og ekstern evidenslagring. Kompakt autoritativ informasjon prioriteres fremfor gjentatte kildesnapshots.</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9  Kontroll og beredskap for pilot</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Foreslått kriterium</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Ansvar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Modellens integritet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Ingen uløste kritiske referanser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Modellansvarlig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Før utsnitt</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Dekning av endring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Alle deltaer forklart eller vist i rest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Designer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Før kode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Kode mot design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Avvik og ukjente forhold behandlet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Før aksept</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Feature-forløp</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Berørte witnesses på integrert build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Integrasjonsansvarlig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Før aksept</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Vedlikeholdskostnad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Mål redigering og kontekst; terskel åpen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Eier og studie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Før utvidelse</w:t>
            </w:r>
            <w:r>
              <w:rPr>
                <w:rtl w:val="0"/>
              </w:rPr>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Ingen SLO-tall eller produksjonsutrulling er vedtatt. Før piloten må vi avtale mål for kontekststørrelse, tidsbruk og modellvedlikehold. Resultatet skal vise satisfied, violated, unknown eller not applicable for en definert egenskap og dekning.</w:t>
      </w:r>
      <w:r>
        <w:rPr>
          <w:rtl w:val="0"/>
        </w:rPr>
      </w:r>
    </w:p>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Alternativer som skal vurderes</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Hvorfor undersøke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Viktig avveining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Arkitektur-DSL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Gjenbruk av struktur og views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Ekstra atferds- og endringssemantikk kan kreves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CML eller SysML v2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Rikere modellbegreper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Presisjon må veies mot kompleksitet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Liten JSON/CUE-modell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Avgrenset og eksplisitt semantikk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Egen grafanalyse og videre evolusjon må bygges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Egen DSL fra bunnen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Full kontroll på uttrykksform</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Større verktøy- og vedlikeholdskostnad</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11  Åpne beslutninger</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Hva tilfører Functionality utover Feature, scenario og pathway? Test samme case med og uten en egen objekttype.</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Hvilke beskyttede grenser utløser ny fasegjennomføring, og hvor komplett må designgrunnlaget være i Concept og MVP?</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Hvordan oppdages kode, registreringer og konsumenter som ikke er modellert? Hvordan uttrykkes variant og usikker dekning?</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Hvilke felt håndskrives, hvilke utledes, og hvilke identitets- og godkjenningsregler skal samordnes med #7/#9?</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Anbefaling og neste undersøkelse</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Anbefaling: gjennomfør én avgrenset sammenligning før språkvalg. Bruk én Feature, én Functionality-kandidat, én Channel og høyst seks ansvarsenheter. Sammenlign samme før/etter-case i ett arkitektur-DSL, ett rikere modellspor og en liten eksplisitt modell. Dette er et forslag til neste oppdrag; compiler, schema freeze og produktmigrasjon inngår ikke.</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Steg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Leveranse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Utgangskriterium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Definisjoner og felles før/etter-case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Bevaringskrav og åpne forhold er tydelige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Samme case i tre konkrete verktøyspor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Native støtte skilt fra manuelle konvensjoner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Diff, utsnitt og negative prøver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Funn, blindsoner og kostnad dokumentert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Sammenligning til eierbeslutning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Begrunnet neste oppdrag; ingen språkfrysing</w:t>
            </w:r>
            <w:r>
              <w:rPr>
                <w:rtl w:val="0"/>
              </w:rPr>
            </w:r>
          </w:p>
        </w:tc>
      </w:tr>
    </w:tbl>
    <w:p w14:paraId="000000F4">
      <w:pPr>
        <w:spacing w:after="120" w:line="269" w:lineRule="auto"/>
        <w:rPr>
          <w:rFonts w:ascii="Helvetica Neue" w:cs="Helvetica Neue" w:eastAsia="Helvetica Neue" w:hAnsi="Helvetica Neue"/>
        </w:rPr>
      </w:pPr>
      <w:r>
        <w:rPr>
          <w:rtl w:val="0"/>
        </w:rPr>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13  Studie og standardforankring</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Referansene nedenfor ble kontrollert mot offentlige ISO- og IEEE-kataloger 14. september 2026. Full normativ tekst er ikke gjennomgått klausul for klausul. Foreslått SDP-bruk er vår vurdering, ikke en påstand om standardkonformitet.</w:t>
      </w:r>
      <w:r>
        <w:rPr>
          <w:rtl w:val="0"/>
        </w:rPr>
      </w:r>
    </w:p>
    <w:p w14:paraId="0000003E">
      <w:pPr>
        <w:pStyle w:val="Heading3"/>
        <w:spacing w:after="90" w:line="280" w:lineRule="auto"/>
        <w:rPr/>
      </w:pPr>
      <w:r>
        <w:rPr>
          <w:rtl w:val="0"/>
        </w:rPr>
        <w:t xml:space="preserve">Designbeskrivelse og arkitektur</w:t>
      </w:r>
    </w:p>
    <w:p w14:paraId="00000027">
      <w:pPr>
        <w:spacing w:after="110" w:line="300" w:lineRule="auto"/>
        <w:jc w:val="both"/>
        <w:rPr>
          <w:rFonts w:ascii="Helvetica Neue" w:cs="Helvetica Neue" w:eastAsia="Helvetica Neue" w:hAnsi="Helvetica Neue"/>
        </w:rPr>
      </w:pPr>
      <w:hyperlink r:id="rIdSDL101">
        <w:r>
          <w:rPr>
            <w:rFonts w:ascii="Helvetica Neue" w:cs="Helvetica Neue" w:eastAsia="Helvetica Neue" w:hAnsi="Helvetica Neue"/>
            <w:color w:val="233447"/>
            <w:rtl w:val="0"/>
          </w:rPr>
          <w:t xml:space="preserve">IEEE 1016-2009 — Innhold og organisering av SDD. Inactive-Reserved siden 2020. Faglig referanse, ikke valgt utviklingsmetode.</w:t>
        </w:r>
        <w:r>
          <w:rPr>
            <w:rtl w:val="0"/>
          </w:rPr>
        </w:r>
      </w:hyperlink>
    </w:p>
    <w:p w14:paraId="00000027">
      <w:pPr>
        <w:spacing w:after="110" w:line="300" w:lineRule="auto"/>
        <w:jc w:val="both"/>
        <w:rPr>
          <w:rFonts w:ascii="Helvetica Neue" w:cs="Helvetica Neue" w:eastAsia="Helvetica Neue" w:hAnsi="Helvetica Neue"/>
        </w:rPr>
      </w:pPr>
      <w:hyperlink r:id="rIdSDL102">
        <w:r>
          <w:rPr>
            <w:rFonts w:ascii="Helvetica Neue" w:cs="Helvetica Neue" w:eastAsia="Helvetica Neue" w:hAnsi="Helvetica Neue"/>
            <w:color w:val="233447"/>
            <w:rtl w:val="0"/>
          </w:rPr>
          <w:t xml:space="preserve">ISO/IEC/IEEE 42010:2022 — Arkitekturbeskrivelse, viewpoints og modelltyper. Relevant for utsnitt og presise begreper.</w:t>
        </w:r>
        <w:r>
          <w:rPr>
            <w:rtl w:val="0"/>
          </w:rPr>
        </w:r>
      </w:hyperlink>
    </w:p>
    <w:p w14:paraId="00000027">
      <w:pPr>
        <w:spacing w:after="110" w:line="300" w:lineRule="auto"/>
        <w:jc w:val="both"/>
        <w:rPr>
          <w:rFonts w:ascii="Helvetica Neue" w:cs="Helvetica Neue" w:eastAsia="Helvetica Neue" w:hAnsi="Helvetica Neue"/>
        </w:rPr>
      </w:pPr>
      <w:hyperlink r:id="rIdSDL103">
        <w:r>
          <w:rPr>
            <w:rFonts w:ascii="Helvetica Neue" w:cs="Helvetica Neue" w:eastAsia="Helvetica Neue" w:hAnsi="Helvetica Neue"/>
            <w:color w:val="233447"/>
            <w:rtl w:val="0"/>
          </w:rPr>
          <w:t xml:space="preserve">ISO/IEC/IEEE 42020:2019 — Arkitekturprosesser gjennom levetiden. Relevant for ansvar og revisjon; ny utgave under utvikling.</w:t>
        </w:r>
        <w:r>
          <w:rPr>
            <w:rtl w:val="0"/>
          </w:rPr>
        </w:r>
      </w:hyperlink>
    </w:p>
    <w:p w14:paraId="00000027">
      <w:pPr>
        <w:spacing w:after="110" w:line="300" w:lineRule="auto"/>
        <w:jc w:val="both"/>
        <w:rPr>
          <w:rFonts w:ascii="Helvetica Neue" w:cs="Helvetica Neue" w:eastAsia="Helvetica Neue" w:hAnsi="Helvetica Neue"/>
        </w:rPr>
      </w:pPr>
      <w:hyperlink r:id="rIdSDL104">
        <w:r>
          <w:rPr>
            <w:rFonts w:ascii="Helvetica Neue" w:cs="Helvetica Neue" w:eastAsia="Helvetica Neue" w:hAnsi="Helvetica Neue"/>
            <w:color w:val="233447"/>
            <w:rtl w:val="0"/>
          </w:rPr>
          <w:t xml:space="preserve">ISO/IEC/IEEE 42030:2019 — Arkitekturevaluering. Relevant for alternativer, kvalitet og risiko før overgang.</w:t>
        </w:r>
        <w:r>
          <w:rPr>
            <w:rtl w:val="0"/>
          </w:rPr>
        </w:r>
      </w:hyperlink>
    </w:p>
    <w:p w14:paraId="0000003E">
      <w:pPr>
        <w:pStyle w:val="Heading3"/>
        <w:spacing w:after="90" w:line="280" w:lineRule="auto"/>
        <w:rPr/>
      </w:pPr>
      <w:r>
        <w:rPr>
          <w:rtl w:val="0"/>
        </w:rPr>
        <w:t xml:space="preserve">Livsløp og kontrollert utvikling</w:t>
      </w:r>
    </w:p>
    <w:p w14:paraId="00000027">
      <w:pPr>
        <w:spacing w:after="110" w:line="300" w:lineRule="auto"/>
        <w:jc w:val="both"/>
        <w:rPr>
          <w:rFonts w:ascii="Helvetica Neue" w:cs="Helvetica Neue" w:eastAsia="Helvetica Neue" w:hAnsi="Helvetica Neue"/>
        </w:rPr>
      </w:pPr>
      <w:hyperlink r:id="rIdSDL105">
        <w:r>
          <w:rPr>
            <w:rFonts w:ascii="Helvetica Neue" w:cs="Helvetica Neue" w:eastAsia="Helvetica Neue" w:hAnsi="Helvetica Neue"/>
            <w:color w:val="233447"/>
            <w:rtl w:val="0"/>
          </w:rPr>
          <w:t xml:space="preserve">ISO/IEC/IEEE 12207:2026 — Programvarens livsløpsprosesser; erstatter 2017. Prosessene kan brukes iterativt og rekursivt.</w:t>
        </w:r>
        <w:r>
          <w:rPr>
            <w:rtl w:val="0"/>
          </w:rPr>
        </w:r>
      </w:hyperlink>
    </w:p>
    <w:p w14:paraId="00000027">
      <w:pPr>
        <w:spacing w:after="110" w:line="300" w:lineRule="auto"/>
        <w:jc w:val="both"/>
        <w:rPr>
          <w:rFonts w:ascii="Helvetica Neue" w:cs="Helvetica Neue" w:eastAsia="Helvetica Neue" w:hAnsi="Helvetica Neue"/>
        </w:rPr>
      </w:pPr>
      <w:hyperlink r:id="rIdSDL106">
        <w:r>
          <w:rPr>
            <w:rFonts w:ascii="Helvetica Neue" w:cs="Helvetica Neue" w:eastAsia="Helvetica Neue" w:hAnsi="Helvetica Neue"/>
            <w:color w:val="233447"/>
            <w:rtl w:val="0"/>
          </w:rPr>
          <w:t xml:space="preserve">ISO/IEC/IEEE 15288:2023 — Systemlivsløp når programvaren inngår i et større operativt system.</w:t>
        </w:r>
        <w:r>
          <w:rPr>
            <w:rtl w:val="0"/>
          </w:rPr>
        </w:r>
      </w:hyperlink>
    </w:p>
    <w:p w14:paraId="00000027">
      <w:pPr>
        <w:spacing w:after="110" w:line="300" w:lineRule="auto"/>
        <w:jc w:val="both"/>
        <w:rPr>
          <w:rFonts w:ascii="Helvetica Neue" w:cs="Helvetica Neue" w:eastAsia="Helvetica Neue" w:hAnsi="Helvetica Neue"/>
        </w:rPr>
      </w:pPr>
      <w:hyperlink r:id="rIdSDL107">
        <w:r>
          <w:rPr>
            <w:rFonts w:ascii="Helvetica Neue" w:cs="Helvetica Neue" w:eastAsia="Helvetica Neue" w:hAnsi="Helvetica Neue"/>
            <w:color w:val="233447"/>
            <w:rtl w:val="0"/>
          </w:rPr>
          <w:t xml:space="preserve">ISO/IEC/IEEE 24748-1:2024 — Livsløpsstyring og stadier. Særlig relevant for fasemodell og overgangskriterier.</w:t>
        </w:r>
        <w:r>
          <w:rPr>
            <w:rtl w:val="0"/>
          </w:rPr>
        </w:r>
      </w:hyperlink>
    </w:p>
    <w:p w14:paraId="00000027">
      <w:pPr>
        <w:spacing w:after="110" w:line="300" w:lineRule="auto"/>
        <w:jc w:val="both"/>
        <w:rPr>
          <w:rFonts w:ascii="Helvetica Neue" w:cs="Helvetica Neue" w:eastAsia="Helvetica Neue" w:hAnsi="Helvetica Neue"/>
        </w:rPr>
      </w:pPr>
      <w:hyperlink r:id="rIdSDL108">
        <w:r>
          <w:rPr>
            <w:rFonts w:ascii="Helvetica Neue" w:cs="Helvetica Neue" w:eastAsia="Helvetica Neue" w:hAnsi="Helvetica Neue"/>
            <w:color w:val="233447"/>
            <w:rtl w:val="0"/>
          </w:rPr>
          <w:t xml:space="preserve">ISO/IEC/IEEE 29148:2018 — Kravutvikling gjennom livsløpet. Knytter behov til REQ, Feature og kontroll.</w:t>
        </w:r>
        <w:r>
          <w:rPr>
            <w:rtl w:val="0"/>
          </w:rPr>
        </w:r>
      </w:hyperlink>
    </w:p>
    <w:p w14:paraId="00000027">
      <w:pPr>
        <w:spacing w:after="110" w:line="300" w:lineRule="auto"/>
        <w:jc w:val="both"/>
        <w:rPr>
          <w:rFonts w:ascii="Helvetica Neue" w:cs="Helvetica Neue" w:eastAsia="Helvetica Neue" w:hAnsi="Helvetica Neue"/>
        </w:rPr>
      </w:pPr>
      <w:hyperlink r:id="rIdSDL109">
        <w:r>
          <w:rPr>
            <w:rFonts w:ascii="Helvetica Neue" w:cs="Helvetica Neue" w:eastAsia="Helvetica Neue" w:hAnsi="Helvetica Neue"/>
            <w:color w:val="233447"/>
            <w:rtl w:val="0"/>
          </w:rPr>
          <w:t xml:space="preserve">ISO/IEC/IEEE 15289:2019 — Innhold i livsløpets informasjonsprodukter. Underlag for hva vi skal utlede og vedlikeholde.</w:t>
        </w:r>
        <w:r>
          <w:rPr>
            <w:rtl w:val="0"/>
          </w:rPr>
        </w:r>
      </w:hyperlink>
    </w:p>
    <w:p w14:paraId="00000027">
      <w:pPr>
        <w:spacing w:after="110" w:line="300" w:lineRule="auto"/>
        <w:jc w:val="both"/>
        <w:rPr>
          <w:rFonts w:ascii="Helvetica Neue" w:cs="Helvetica Neue" w:eastAsia="Helvetica Neue" w:hAnsi="Helvetica Neue"/>
        </w:rPr>
      </w:pPr>
      <w:hyperlink r:id="rIdSDL110">
        <w:r>
          <w:rPr>
            <w:rFonts w:ascii="Helvetica Neue" w:cs="Helvetica Neue" w:eastAsia="Helvetica Neue" w:hAnsi="Helvetica Neue"/>
            <w:color w:val="233447"/>
            <w:rtl w:val="0"/>
          </w:rPr>
          <w:t xml:space="preserve">ISO 10007:2017 — Konfigurasjonsstyring. Underlag for identifiserte baselines og kontrollert endring.</w:t>
        </w:r>
        <w:r>
          <w:rPr>
            <w:rtl w:val="0"/>
          </w:rPr>
        </w:r>
      </w:hyperlink>
    </w:p>
    <w:p w14:paraId="00000027">
      <w:pPr>
        <w:spacing w:after="110" w:line="300" w:lineRule="auto"/>
        <w:jc w:val="both"/>
        <w:rPr>
          <w:rFonts w:ascii="Helvetica Neue" w:cs="Helvetica Neue" w:eastAsia="Helvetica Neue" w:hAnsi="Helvetica Neue"/>
        </w:rPr>
      </w:pPr>
      <w:hyperlink r:id="rIdSDL111">
        <w:r>
          <w:rPr>
            <w:rFonts w:ascii="Helvetica Neue" w:cs="Helvetica Neue" w:eastAsia="Helvetica Neue" w:hAnsi="Helvetica Neue"/>
            <w:color w:val="233447"/>
            <w:rtl w:val="0"/>
          </w:rPr>
          <w:t xml:space="preserve">ISO/IEC/IEEE 14764:2022 — Programvarevedlikehold. Refererer til 12207:2017; utgavekoblingen må kontrolleres.</w:t>
        </w:r>
        <w:r>
          <w:rPr>
            <w:rtl w:val="0"/>
          </w:rPr>
        </w:r>
      </w:hyperlink>
    </w:p>
    <w:p w14:paraId="0000003E">
      <w:pPr>
        <w:pStyle w:val="Heading3"/>
        <w:spacing w:after="90" w:line="280" w:lineRule="auto"/>
        <w:rPr/>
      </w:pPr>
      <w:r>
        <w:rPr>
          <w:rtl w:val="0"/>
        </w:rPr>
        <w:t xml:space="preserve">Verifikasjon og kvalitet</w:t>
      </w:r>
    </w:p>
    <w:p w14:paraId="00000027">
      <w:pPr>
        <w:spacing w:after="110" w:line="300" w:lineRule="auto"/>
        <w:jc w:val="both"/>
        <w:rPr>
          <w:rFonts w:ascii="Helvetica Neue" w:cs="Helvetica Neue" w:eastAsia="Helvetica Neue" w:hAnsi="Helvetica Neue"/>
        </w:rPr>
      </w:pPr>
      <w:hyperlink r:id="rIdSDL112">
        <w:r>
          <w:rPr>
            <w:rFonts w:ascii="Helvetica Neue" w:cs="Helvetica Neue" w:eastAsia="Helvetica Neue" w:hAnsi="Helvetica Neue"/>
            <w:color w:val="233447"/>
            <w:rtl w:val="0"/>
          </w:rPr>
          <w:t xml:space="preserve">IEEE 1012-2024 — Verifikasjon og validering. Relevant for kontroller, evidens og passende uavhengighet.</w:t>
        </w:r>
        <w:r>
          <w:rPr>
            <w:rtl w:val="0"/>
          </w:rPr>
        </w:r>
      </w:hyperlink>
    </w:p>
    <w:p w14:paraId="00000027">
      <w:pPr>
        <w:spacing w:after="110" w:line="300" w:lineRule="auto"/>
        <w:jc w:val="both"/>
        <w:rPr>
          <w:rFonts w:ascii="Helvetica Neue" w:cs="Helvetica Neue" w:eastAsia="Helvetica Neue" w:hAnsi="Helvetica Neue"/>
        </w:rPr>
      </w:pPr>
      <w:hyperlink r:id="rIdSDL113">
        <w:r>
          <w:rPr>
            <w:rFonts w:ascii="Helvetica Neue" w:cs="Helvetica Neue" w:eastAsia="Helvetica Neue" w:hAnsi="Helvetica Neue"/>
            <w:color w:val="233447"/>
            <w:rtl w:val="0"/>
          </w:rPr>
          <w:t xml:space="preserve">ISO/IEC/IEEE 29119-2:2021 — Testprosesser. Koble endring og design til planlagte og gjennomførte tester.</w:t>
        </w:r>
        <w:r>
          <w:rPr>
            <w:rtl w:val="0"/>
          </w:rPr>
        </w:r>
      </w:hyperlink>
    </w:p>
    <w:p w14:paraId="00000027">
      <w:pPr>
        <w:spacing w:after="110" w:line="300" w:lineRule="auto"/>
        <w:jc w:val="both"/>
        <w:rPr>
          <w:rFonts w:ascii="Helvetica Neue" w:cs="Helvetica Neue" w:eastAsia="Helvetica Neue" w:hAnsi="Helvetica Neue"/>
        </w:rPr>
      </w:pPr>
      <w:hyperlink r:id="rIdSDL114">
        <w:r>
          <w:rPr>
            <w:rFonts w:ascii="Helvetica Neue" w:cs="Helvetica Neue" w:eastAsia="Helvetica Neue" w:hAnsi="Helvetica Neue"/>
            <w:color w:val="233447"/>
            <w:rtl w:val="0"/>
          </w:rPr>
          <w:t xml:space="preserve">ISO/IEC 25010:2023 — Produktkvalitetsmodell. Gjør relevante kvalitetsegenskaper del av aksepten.</w:t>
        </w:r>
        <w:r>
          <w:rPr>
            <w:rtl w:val="0"/>
          </w:rPr>
        </w:r>
      </w:hyperlink>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14  Teknologispor og kontrollgrenser</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Anbefalingen er å starte med en liten semantisk modell, kodebindinger og Feature-witnesses. Språkkatalogen dekker blant annet Structurizr, LikeC4, CML, SysML, kontraktsformater og transformasjonsverktøy. Ingen kandidat er valgt.</w:t>
      </w:r>
      <w:r>
        <w:rPr>
          <w:rtl w:val="0"/>
        </w:rPr>
      </w:r>
    </w:p>
    <w:p w14:paraId="00000027">
      <w:pPr>
        <w:spacing w:after="110" w:line="300" w:lineRule="auto"/>
        <w:jc w:val="both"/>
        <w:rPr>
          <w:rFonts w:ascii="Helvetica Neue" w:cs="Helvetica Neue" w:eastAsia="Helvetica Neue" w:hAnsi="Helvetica Neue"/>
        </w:rPr>
      </w:pPr>
      <w:hyperlink r:id="rIdSDL115">
        <w:r>
          <w:rPr>
            <w:rFonts w:ascii="Helvetica Neue" w:cs="Helvetica Neue" w:eastAsia="Helvetica Neue" w:hAnsi="Helvetica Neue"/>
            <w:color w:val="233447"/>
            <w:rtl w:val="0"/>
          </w:rPr>
          <w:t xml:space="preserve">Doxygen tilbyr XML-utdata. Annotasjoner kan binde symboler til design-ID-er, men samsvar mellom kommentar og modell beviser ikke at koden følger dem.</w:t>
        </w:r>
        <w:r>
          <w:rPr>
            <w:rtl w:val="0"/>
          </w:rPr>
        </w:r>
      </w:hyperlink>
    </w:p>
    <w:p w14:paraId="00000027">
      <w:pPr>
        <w:spacing w:after="110" w:line="300" w:lineRule="auto"/>
        <w:jc w:val="both"/>
        <w:rPr>
          <w:rFonts w:ascii="Helvetica Neue" w:cs="Helvetica Neue" w:eastAsia="Helvetica Neue" w:hAnsi="Helvetica Neue"/>
        </w:rPr>
      </w:pPr>
      <w:hyperlink r:id="rIdSDL116">
        <w:r>
          <w:rPr>
            <w:rFonts w:ascii="Helvetica Neue" w:cs="Helvetica Neue" w:eastAsia="Helvetica Neue" w:hAnsi="Helvetica Neue"/>
            <w:color w:val="233447"/>
            <w:rtl w:val="0"/>
          </w:rPr>
          <w:t xml:space="preserve">AST og compiler-API-er kan hente struktur og symboler; Clang AST Matchers er ett eksempel. Dynamiske registreringer, konfigurasjon og faktisk wiring krever ekstra dekning.</w:t>
        </w:r>
        <w:r>
          <w:rPr>
            <w:rtl w:val="0"/>
          </w:rPr>
        </w:r>
      </w:hyperlink>
    </w:p>
    <w:p w14:paraId="00000027">
      <w:pPr>
        <w:spacing w:after="110" w:line="300" w:lineRule="auto"/>
        <w:jc w:val="both"/>
        <w:rPr>
          <w:rFonts w:ascii="Helvetica Neue" w:cs="Helvetica Neue" w:eastAsia="Helvetica Neue" w:hAnsi="Helvetica Neue"/>
        </w:rPr>
      </w:pPr>
      <w:hyperlink r:id="rIdSDL117">
        <w:r>
          <w:rPr>
            <w:rFonts w:ascii="Helvetica Neue" w:cs="Helvetica Neue" w:eastAsia="Helvetica Neue" w:hAnsi="Helvetica Neue"/>
            <w:color w:val="233447"/>
            <w:rtl w:val="0"/>
          </w:rPr>
          <w:t xml:space="preserve">LLVM IR kan støtte avgrenset analyse. Feature-hensikt og logiske Channels må mappes eksplisitt. Å kompilere både design og kode til LLVM løser ikke automatisk atferdsekvivalens. En normalisert design-IR er et eget konsept.</w:t>
        </w:r>
        <w:r>
          <w:rPr>
            <w:rtl w:val="0"/>
          </w:rPr>
        </w:r>
      </w:hyperlink>
    </w:p>
    <w:p w14:paraId="0000003E">
      <w:pPr>
        <w:pStyle w:val="Heading3"/>
        <w:spacing w:after="90" w:line="280" w:lineRule="auto"/>
        <w:rPr/>
      </w:pPr>
      <w:r>
        <w:rPr>
          <w:rtl w:val="0"/>
        </w:rPr>
        <w:t xml:space="preserve">Negative prøver i neste studie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Prøv brutt referanse, rename, split med delvis bevart atferd, feil enhet med uendret datatype, utelatt konsument, forbudt kodeavhengighet, manglende runtime-registrering og foreldet oppdragsutsnitt. Skill automatisk oppdagelse fra manuell vurdering.</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Hvert verktøyspor får en avgrenset reparasjonsrunde. Ved fortsatt problem dokumenteres hindringen. Leveransen skal vise kostnad, informasjonstap og blindsoner, ikke bare et fungerende eksempel.</w:t>
      </w:r>
      <w:r>
        <w:rPr>
          <w:rtl w:val="0"/>
        </w:rPr>
      </w:r>
    </w:p>
    <w:p w14:paraId="0000003E">
      <w:pPr>
        <w:pStyle w:val="Heading3"/>
        <w:spacing w:after="90" w:line="280" w:lineRule="auto"/>
        <w:rPr/>
      </w:pPr>
      <w:r>
        <w:rPr>
          <w:rtl w:val="0"/>
        </w:rPr>
        <w:t xml:space="preserve">Kilder og videreføring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Fullt mandat, krav M01–M09, spørsmål Q01–Q10 og utvidet studie finnes i Mandate-and-Study.md, dokument SDL-MANDATE-STUDY-001 rev 0.1. Denne dokumentversjonen er en tematisk sammenfatning i System Design-malen. Den endrer ikke mandatets status eller tidligere SDP-aksept.</w:t>
      </w:r>
      <w:r>
        <w:rPr>
          <w:rtl w:val="0"/>
        </w:rPr>
      </w:r>
    </w:p>
    <w:p w14:paraId="00000027">
      <w:pPr>
        <w:spacing w:after="110" w:line="300" w:lineRule="auto"/>
        <w:jc w:val="both"/>
        <w:rPr>
          <w:rFonts w:ascii="Helvetica Neue" w:cs="Helvetica Neue" w:eastAsia="Helvetica Neue" w:hAnsi="Helvetica Neue"/>
        </w:rPr>
      </w:pPr>
      <w:hyperlink r:id="rIdSDL118">
        <w:r>
          <w:rPr>
            <w:rFonts w:ascii="Helvetica Neue" w:cs="Helvetica Neue" w:eastAsia="Helvetica Neue" w:hAnsi="Helvetica Neue"/>
            <w:color w:val="233447"/>
            <w:rtl w:val="0"/>
          </w:rPr>
          <w:t xml:space="preserve">SDP #5 — akseptert studiegrunnlag</w:t>
        </w:r>
        <w:r>
          <w:rPr>
            <w:rtl w:val="0"/>
          </w:rPr>
        </w:r>
      </w:hyperlink>
    </w:p>
    <w:p w14:paraId="00000027">
      <w:pPr>
        <w:spacing w:after="110" w:line="300" w:lineRule="auto"/>
        <w:jc w:val="both"/>
        <w:rPr>
          <w:rFonts w:ascii="Helvetica Neue" w:cs="Helvetica Neue" w:eastAsia="Helvetica Neue" w:hAnsi="Helvetica Neue"/>
        </w:rPr>
      </w:pPr>
      <w:hyperlink r:id="rIdSDL119">
        <w:r>
          <w:rPr>
            <w:rFonts w:ascii="Helvetica Neue" w:cs="Helvetica Neue" w:eastAsia="Helvetica Neue" w:hAnsi="Helvetica Neue"/>
            <w:color w:val="233447"/>
            <w:rtl w:val="0"/>
          </w:rPr>
          <w:t xml:space="preserve">SDP #7 og PR #8 — foreløpig pilotkontrakt</w:t>
        </w:r>
        <w:r>
          <w:rPr>
            <w:rtl w:val="0"/>
          </w:rPr>
        </w:r>
      </w:hyperlink>
    </w:p>
    <w:p w14:paraId="00000027">
      <w:pPr>
        <w:spacing w:after="110" w:line="300" w:lineRule="auto"/>
        <w:jc w:val="both"/>
        <w:rPr>
          <w:rFonts w:ascii="Helvetica Neue" w:cs="Helvetica Neue" w:eastAsia="Helvetica Neue" w:hAnsi="Helvetica Neue"/>
        </w:rPr>
      </w:pPr>
      <w:hyperlink r:id="rIdSDL120">
        <w:r>
          <w:rPr>
            <w:rFonts w:ascii="Helvetica Neue" w:cs="Helvetica Neue" w:eastAsia="Helvetica Neue" w:hAnsi="Helvetica Neue"/>
            <w:color w:val="233447"/>
            <w:rtl w:val="0"/>
          </w:rPr>
          <w:t xml:space="preserve">SDP #9 — Steering og koordinering</w:t>
        </w:r>
        <w:r>
          <w:rPr>
            <w:rtl w:val="0"/>
          </w:rPr>
        </w:r>
      </w:hyperlink>
    </w:p>
    <w:p w14:paraId="00000027">
      <w:pPr>
        <w:spacing w:after="110" w:line="300" w:lineRule="auto"/>
        <w:jc w:val="both"/>
        <w:rPr>
          <w:rFonts w:ascii="Helvetica Neue" w:cs="Helvetica Neue" w:eastAsia="Helvetica Neue" w:hAnsi="Helvetica Neue"/>
        </w:rPr>
      </w:pPr>
      <w:hyperlink r:id="rIdSDL121">
        <w:r>
          <w:rPr>
            <w:rFonts w:ascii="Helvetica Neue" w:cs="Helvetica Neue" w:eastAsia="Helvetica Neue" w:hAnsi="Helvetica Neue"/>
            <w:color w:val="233447"/>
            <w:rtl w:val="0"/>
          </w:rPr>
          <w:t xml:space="preserve">SDP #10 — modellinnspill og P04-research</w:t>
        </w:r>
        <w:r>
          <w:rPr>
            <w:rtl w:val="0"/>
          </w:rPr>
        </w:r>
      </w:hyperlink>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Hans-Einar / SDP | Systemdesign | Forslag 0.1</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Grunnlag: SDL-MANDATE-STUDY-001 rev 0.1. Mandat, forslag og aksept skal holdes adskilt.</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Hans-Einar/SDP/tree/research/issue-10-system-design-languages/SystemDesignLanguage/research"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SDL101" Type="http://schemas.openxmlformats.org/officeDocument/2006/relationships/hyperlink" Target="https://standards.ieee.org/ieee/1016/4502/" TargetMode="External"/><Relationship Id="rIdSDL102" Type="http://schemas.openxmlformats.org/officeDocument/2006/relationships/hyperlink" Target="https://www.iso.org/standard/74393.html" TargetMode="External"/><Relationship Id="rIdSDL103" Type="http://schemas.openxmlformats.org/officeDocument/2006/relationships/hyperlink" Target="https://www.iso.org/standard/68982.html" TargetMode="External"/><Relationship Id="rIdSDL104" Type="http://schemas.openxmlformats.org/officeDocument/2006/relationships/hyperlink" Target="https://www.iso.org/standard/73436.html" TargetMode="External"/><Relationship Id="rIdSDL105" Type="http://schemas.openxmlformats.org/officeDocument/2006/relationships/hyperlink" Target="https://standards.ieee.org/ieee/12207/11416/" TargetMode="External"/><Relationship Id="rIdSDL106" Type="http://schemas.openxmlformats.org/officeDocument/2006/relationships/hyperlink" Target="https://www.iso.org/standard/81702.html" TargetMode="External"/><Relationship Id="rIdSDL107" Type="http://schemas.openxmlformats.org/officeDocument/2006/relationships/hyperlink" Target="https://www.iso.org/standard/84709.html" TargetMode="External"/><Relationship Id="rIdSDL108" Type="http://schemas.openxmlformats.org/officeDocument/2006/relationships/hyperlink" Target="https://www.iso.org/standard/72089.html" TargetMode="External"/><Relationship Id="rIdSDL109" Type="http://schemas.openxmlformats.org/officeDocument/2006/relationships/hyperlink" Target="https://www.iso.org/standard/74909.html" TargetMode="External"/><Relationship Id="rIdSDL110" Type="http://schemas.openxmlformats.org/officeDocument/2006/relationships/hyperlink" Target="https://www.iso.org/standard/70400.html" TargetMode="External"/><Relationship Id="rIdSDL111" Type="http://schemas.openxmlformats.org/officeDocument/2006/relationships/hyperlink" Target="https://www.iso.org/standard/80710.html" TargetMode="External"/><Relationship Id="rIdSDL112" Type="http://schemas.openxmlformats.org/officeDocument/2006/relationships/hyperlink" Target="https://standards.ieee.org/ieee/1012/7324/" TargetMode="External"/><Relationship Id="rIdSDL113" Type="http://schemas.openxmlformats.org/officeDocument/2006/relationships/hyperlink" Target="https://www.iso.org/standard/79428.html" TargetMode="External"/><Relationship Id="rIdSDL114" Type="http://schemas.openxmlformats.org/officeDocument/2006/relationships/hyperlink" Target="https://www.iso.org/standard/78176.html" TargetMode="External"/><Relationship Id="rIdSDL115" Type="http://schemas.openxmlformats.org/officeDocument/2006/relationships/hyperlink" Target="https://www.doxygen.nl/manual/customize.html#xmloutput" TargetMode="External"/><Relationship Id="rIdSDL116" Type="http://schemas.openxmlformats.org/officeDocument/2006/relationships/hyperlink" Target="https://clang.llvm.org/docs/LibASTMatchers.html" TargetMode="External"/><Relationship Id="rIdSDL117" Type="http://schemas.openxmlformats.org/officeDocument/2006/relationships/hyperlink" Target="https://llvm.org/docs/LangRef.html" TargetMode="External"/><Relationship Id="rIdSDL118" Type="http://schemas.openxmlformats.org/officeDocument/2006/relationships/hyperlink" Target="https://github.com/Hans-Einar/SDP/issues/5" TargetMode="External"/><Relationship Id="rIdSDL119" Type="http://schemas.openxmlformats.org/officeDocument/2006/relationships/hyperlink" Target="https://github.com/Hans-Einar/SDP/issues/7" TargetMode="External"/><Relationship Id="rIdSDL120" Type="http://schemas.openxmlformats.org/officeDocument/2006/relationships/hyperlink" Target="https://github.com/Hans-Einar/SDP/issues/9" TargetMode="External"/><Relationship Id="rIdSDL121" Type="http://schemas.openxmlformats.org/officeDocument/2006/relationships/hyperlink" Target="https://github.com/Hans-Einar/SDP/issues/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