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AI Data Rules — One Page</w:t>
      </w:r>
    </w:p>
    <w:p>
      <w:pPr>
        <w:pBdr>
          <w:bottom w:val="single" w:color="B7892B" w:sz="6" w:space="4"/>
        </w:pBdr>
        <w:spacing w:after="160"/>
      </w:pPr>
      <w:r>
        <w:rPr>
          <w:color w:val="5A5A5A"/>
          <w:sz w:val="22"/>
          <w:szCs w:val="22"/>
        </w:rPr>
        <w:t xml:space="preserve">Before you put anything into Claude (Chat, Cowork, or Code).</w:t>
      </w:r>
    </w:p>
    <w:p>
      <w:pPr>
        <w:spacing w:after="120"/>
      </w:pPr>
      <w:r>
        <w:rPr>
          <w:i/>
          <w:iCs/>
          <w:color w:val="5A5A5A"/>
          <w:sz w:val="18"/>
          <w:szCs w:val="18"/>
        </w:rPr>
        <w:t xml:space="preserve">Version 1.1 · July 2026 · Hans Tandt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40"/>
            </w:tcMar>
          </w:tcPr>
          <w:p>
            <w:pPr>
              <w:spacing w:after="40"/>
            </w:pPr>
            <w:r>
              <w:rPr>
                <w:b/>
                <w:bCs/>
                <w:color w:val="9A6A00"/>
                <w:sz w:val="22"/>
                <w:szCs w:val="22"/>
              </w:rPr>
              <w:t xml:space="preserve">The key principle</w:t>
            </w:r>
          </w:p>
          <w:p>
            <w:r>
              <w:rPr>
                <w:sz w:val="20"/>
                <w:szCs w:val="20"/>
              </w:rPr>
              <w:t xml:space="preserve">Chat, Cowork, and Code are about workflow, not confidentiality. All three send your content to Anthropic's servers, so “it runs on my computer” does NOT make sensitive data safe. Classify the data first. (You can stop your data being used for training in Settings, Privacy — but it is still processed on the server.)</w:t>
            </w:r>
          </w:p>
        </w:tc>
      </w:tr>
    </w:tbl>
    <w:p>
      <w:pPr>
        <w:spacing w:after="80" w:before="140"/>
      </w:pPr>
      <w:r>
        <w:rPr>
          <w:b/>
          <w:bCs/>
          <w:color w:val="1F3A5F"/>
          <w:sz w:val="22"/>
          <w:szCs w:val="22"/>
        </w:rPr>
        <w:t xml:space="preserve">The traffic-light rule</w:t>
      </w:r>
    </w:p>
    <w:tbl>
      <w:tblPr>
        <w:tblW w:type="dxa" w:w="974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46"/>
        <w:gridCol w:w="2400"/>
      </w:tblGrid>
      <w:tr>
        <w:trPr>
          <w:cantSplit/>
          <w:tblHeader/>
        </w:trPr>
        <w:tc>
          <w:tcPr>
            <w:tcW w:type="dxa" w:w="1500"/>
            <w:shd w:fill="1F3A5F" w:val="clear"/>
            <w:tcMar>
              <w:top w:type="dxa" w:w="70"/>
              <w:left w:type="dxa" w:w="110"/>
              <w:bottom w:type="dxa" w:w="70"/>
              <w:right w:type="dxa" w:w="110"/>
            </w:tcMar>
          </w:tcPr>
          <w:p>
            <w:r>
              <w:rPr>
                <w:b/>
                <w:bCs/>
                <w:color w:val="FFFFFF"/>
                <w:sz w:val="19"/>
                <w:szCs w:val="19"/>
              </w:rPr>
              <w:t xml:space="preserve">Light</w:t>
            </w:r>
          </w:p>
        </w:tc>
        <w:tc>
          <w:tcPr>
            <w:tcW w:type="dxa" w:w="2400"/>
            <w:shd w:fill="1F3A5F" w:val="clear"/>
            <w:tcMar>
              <w:top w:type="dxa" w:w="70"/>
              <w:left w:type="dxa" w:w="110"/>
              <w:bottom w:type="dxa" w:w="70"/>
              <w:right w:type="dxa" w:w="110"/>
            </w:tcMar>
          </w:tcPr>
          <w:p>
            <w:r>
              <w:rPr>
                <w:b/>
                <w:bCs/>
                <w:color w:val="FFFFFF"/>
                <w:sz w:val="19"/>
                <w:szCs w:val="19"/>
              </w:rPr>
              <w:t xml:space="preserve">Means</w:t>
            </w:r>
          </w:p>
        </w:tc>
        <w:tc>
          <w:tcPr>
            <w:tcW w:type="dxa" w:w="3346"/>
            <w:shd w:fill="1F3A5F" w:val="clear"/>
            <w:tcMar>
              <w:top w:type="dxa" w:w="70"/>
              <w:left w:type="dxa" w:w="110"/>
              <w:bottom w:type="dxa" w:w="70"/>
              <w:right w:type="dxa" w:w="110"/>
            </w:tcMar>
          </w:tcPr>
          <w:p>
            <w:r>
              <w:rPr>
                <w:b/>
                <w:bCs/>
                <w:color w:val="FFFFFF"/>
                <w:sz w:val="19"/>
                <w:szCs w:val="19"/>
              </w:rPr>
              <w:t xml:space="preserve">Examples</w:t>
            </w:r>
          </w:p>
        </w:tc>
        <w:tc>
          <w:tcPr>
            <w:tcW w:type="dxa" w:w="2400"/>
            <w:shd w:fill="1F3A5F" w:val="clear"/>
            <w:tcMar>
              <w:top w:type="dxa" w:w="70"/>
              <w:left w:type="dxa" w:w="110"/>
              <w:bottom w:type="dxa" w:w="70"/>
              <w:right w:type="dxa" w:w="110"/>
            </w:tcMar>
          </w:tcPr>
          <w:p>
            <w:r>
              <w:rPr>
                <w:b/>
                <w:bCs/>
                <w:color w:val="FFFFFF"/>
                <w:sz w:val="19"/>
                <w:szCs w:val="19"/>
              </w:rPr>
              <w:t xml:space="preserve">What to do</w:t>
            </w:r>
          </w:p>
        </w:tc>
      </w:tr>
      <w:tr>
        <w:trPr>
          <w:cantSplit/>
        </w:trPr>
        <w:tc>
          <w:tcPr>
            <w:tcW w:type="dxa" w:w="1500"/>
            <w:shd w:fill="DDF0E0" w:val="clear"/>
            <w:tcMar>
              <w:top w:type="dxa" w:w="70"/>
              <w:left w:type="dxa" w:w="110"/>
              <w:bottom w:type="dxa" w:w="70"/>
              <w:right w:type="dxa" w:w="110"/>
            </w:tcMar>
          </w:tcPr>
          <w:p>
            <w:r>
              <w:rPr>
                <w:b/>
                <w:bCs/>
                <w:color w:val="1E7B34"/>
                <w:sz w:val="19"/>
                <w:szCs w:val="19"/>
              </w:rPr>
              <w:t xml:space="preserve">GREEN</w:t>
            </w:r>
          </w:p>
        </w:tc>
        <w:tc>
          <w:tcPr>
            <w:tcW w:type="dxa" w:w="2400"/>
            <w:tcMar>
              <w:top w:type="dxa" w:w="70"/>
              <w:left w:type="dxa" w:w="110"/>
              <w:bottom w:type="dxa" w:w="70"/>
              <w:right w:type="dxa" w:w="110"/>
            </w:tcMar>
          </w:tcPr>
          <w:p>
            <w:r>
              <w:rPr>
                <w:b w:val="false"/>
                <w:bCs w:val="false"/>
                <w:color w:val="222222"/>
                <w:sz w:val="19"/>
                <w:szCs w:val="19"/>
              </w:rPr>
              <w:t xml:space="preserve">Public / harmless</w:t>
            </w:r>
          </w:p>
        </w:tc>
        <w:tc>
          <w:tcPr>
            <w:tcW w:type="dxa" w:w="3346"/>
            <w:tcMar>
              <w:top w:type="dxa" w:w="70"/>
              <w:left w:type="dxa" w:w="110"/>
              <w:bottom w:type="dxa" w:w="70"/>
              <w:right w:type="dxa" w:w="110"/>
            </w:tcMar>
          </w:tcPr>
          <w:p>
            <w:r>
              <w:rPr>
                <w:b w:val="false"/>
                <w:bCs w:val="false"/>
                <w:color w:val="222222"/>
                <w:sz w:val="19"/>
                <w:szCs w:val="19"/>
              </w:rPr>
              <w:t xml:space="preserve">Public info, marketing text, general how-to questions.</w:t>
            </w:r>
          </w:p>
        </w:tc>
        <w:tc>
          <w:tcPr>
            <w:tcW w:type="dxa" w:w="2400"/>
            <w:tcMar>
              <w:top w:type="dxa" w:w="70"/>
              <w:left w:type="dxa" w:w="110"/>
              <w:bottom w:type="dxa" w:w="70"/>
              <w:right w:type="dxa" w:w="110"/>
            </w:tcMar>
          </w:tcPr>
          <w:p>
            <w:r>
              <w:rPr>
                <w:b w:val="false"/>
                <w:bCs w:val="false"/>
                <w:color w:val="222222"/>
                <w:sz w:val="19"/>
                <w:szCs w:val="19"/>
              </w:rPr>
              <w:t xml:space="preserve">Use freely.</w:t>
            </w:r>
          </w:p>
        </w:tc>
      </w:tr>
      <w:tr>
        <w:trPr>
          <w:cantSplit/>
        </w:trPr>
        <w:tc>
          <w:tcPr>
            <w:tcW w:type="dxa" w:w="1500"/>
            <w:shd w:fill="FBE7C6" w:val="clear"/>
            <w:tcMar>
              <w:top w:type="dxa" w:w="70"/>
              <w:left w:type="dxa" w:w="110"/>
              <w:bottom w:type="dxa" w:w="70"/>
              <w:right w:type="dxa" w:w="110"/>
            </w:tcMar>
          </w:tcPr>
          <w:p>
            <w:r>
              <w:rPr>
                <w:b/>
                <w:bCs/>
                <w:color w:val="9A6A00"/>
                <w:sz w:val="19"/>
                <w:szCs w:val="19"/>
              </w:rPr>
              <w:t xml:space="preserve">ORANGE</w:t>
            </w:r>
          </w:p>
        </w:tc>
        <w:tc>
          <w:tcPr>
            <w:tcW w:type="dxa" w:w="2400"/>
            <w:tcMar>
              <w:top w:type="dxa" w:w="70"/>
              <w:left w:type="dxa" w:w="110"/>
              <w:bottom w:type="dxa" w:w="70"/>
              <w:right w:type="dxa" w:w="110"/>
            </w:tcMar>
          </w:tcPr>
          <w:p>
            <w:r>
              <w:rPr>
                <w:b w:val="false"/>
                <w:bCs w:val="false"/>
                <w:color w:val="222222"/>
                <w:sz w:val="19"/>
                <w:szCs w:val="19"/>
              </w:rPr>
              <w:t xml:space="preserve">Internal / operational</w:t>
            </w:r>
          </w:p>
        </w:tc>
        <w:tc>
          <w:tcPr>
            <w:tcW w:type="dxa" w:w="3346"/>
            <w:tcMar>
              <w:top w:type="dxa" w:w="70"/>
              <w:left w:type="dxa" w:w="110"/>
              <w:bottom w:type="dxa" w:w="70"/>
              <w:right w:type="dxa" w:w="110"/>
            </w:tcMar>
          </w:tcPr>
          <w:p>
            <w:r>
              <w:rPr>
                <w:b w:val="false"/>
                <w:bCs w:val="false"/>
                <w:color w:val="222222"/>
                <w:sz w:val="19"/>
                <w:szCs w:val="19"/>
              </w:rPr>
              <w:t xml:space="preserve">Internal procedures, non-personal company data.</w:t>
            </w:r>
          </w:p>
        </w:tc>
        <w:tc>
          <w:tcPr>
            <w:tcW w:type="dxa" w:w="2400"/>
            <w:tcMar>
              <w:top w:type="dxa" w:w="70"/>
              <w:left w:type="dxa" w:w="110"/>
              <w:bottom w:type="dxa" w:w="70"/>
              <w:right w:type="dxa" w:w="110"/>
            </w:tcMar>
          </w:tcPr>
          <w:p>
            <w:r>
              <w:rPr>
                <w:b w:val="false"/>
                <w:bCs w:val="false"/>
                <w:color w:val="222222"/>
                <w:sz w:val="19"/>
                <w:szCs w:val="19"/>
              </w:rPr>
              <w:t xml:space="preserve">Allowed in approved tools; avoid unnecessary detail.</w:t>
            </w:r>
          </w:p>
        </w:tc>
      </w:tr>
      <w:tr>
        <w:trPr>
          <w:cantSplit/>
        </w:trPr>
        <w:tc>
          <w:tcPr>
            <w:tcW w:type="dxa" w:w="1500"/>
            <w:shd w:fill="F7D9D9" w:val="clear"/>
            <w:tcMar>
              <w:top w:type="dxa" w:w="70"/>
              <w:left w:type="dxa" w:w="110"/>
              <w:bottom w:type="dxa" w:w="70"/>
              <w:right w:type="dxa" w:w="110"/>
            </w:tcMar>
          </w:tcPr>
          <w:p>
            <w:r>
              <w:rPr>
                <w:b/>
                <w:bCs/>
                <w:color w:val="A62A2A"/>
                <w:sz w:val="19"/>
                <w:szCs w:val="19"/>
              </w:rPr>
              <w:t xml:space="preserve">RED</w:t>
            </w:r>
          </w:p>
        </w:tc>
        <w:tc>
          <w:tcPr>
            <w:tcW w:type="dxa" w:w="2400"/>
            <w:tcMar>
              <w:top w:type="dxa" w:w="70"/>
              <w:left w:type="dxa" w:w="110"/>
              <w:bottom w:type="dxa" w:w="70"/>
              <w:right w:type="dxa" w:w="110"/>
            </w:tcMar>
          </w:tcPr>
          <w:p>
            <w:r>
              <w:rPr>
                <w:b w:val="false"/>
                <w:bCs w:val="false"/>
                <w:color w:val="222222"/>
                <w:sz w:val="19"/>
                <w:szCs w:val="19"/>
              </w:rPr>
              <w:t xml:space="preserve">Sensitive</w:t>
            </w:r>
          </w:p>
        </w:tc>
        <w:tc>
          <w:tcPr>
            <w:tcW w:type="dxa" w:w="3346"/>
            <w:tcMar>
              <w:top w:type="dxa" w:w="70"/>
              <w:left w:type="dxa" w:w="110"/>
              <w:bottom w:type="dxa" w:w="70"/>
              <w:right w:type="dxa" w:w="110"/>
            </w:tcMar>
          </w:tcPr>
          <w:p>
            <w:r>
              <w:rPr>
                <w:b w:val="false"/>
                <w:bCs w:val="false"/>
                <w:color w:val="222222"/>
                <w:sz w:val="19"/>
                <w:szCs w:val="19"/>
              </w:rPr>
              <w:t xml:space="preserve">Personal data, legal/warranty disputes, contracts, accident files.</w:t>
            </w:r>
          </w:p>
        </w:tc>
        <w:tc>
          <w:tcPr>
            <w:tcW w:type="dxa" w:w="2400"/>
            <w:tcMar>
              <w:top w:type="dxa" w:w="70"/>
              <w:left w:type="dxa" w:w="110"/>
              <w:bottom w:type="dxa" w:w="70"/>
              <w:right w:type="dxa" w:w="110"/>
            </w:tcMar>
          </w:tcPr>
          <w:p>
            <w:r>
              <w:rPr>
                <w:b w:val="false"/>
                <w:bCs w:val="false"/>
                <w:color w:val="222222"/>
                <w:sz w:val="19"/>
                <w:szCs w:val="19"/>
              </w:rPr>
              <w:t xml:space="preserve">Anonymise, get approval, or keep out.</w:t>
            </w:r>
          </w:p>
        </w:tc>
      </w:tr>
    </w:tbl>
    <w:p>
      <w:pPr>
        <w:spacing w:after="80" w:before="160"/>
      </w:pPr>
      <w:r>
        <w:rPr>
          <w:b/>
          <w:bCs/>
          <w:color w:val="1F3A5F"/>
          <w:sz w:val="22"/>
          <w:szCs w:val="22"/>
        </w:rPr>
        <w:t xml:space="preserve">Two ground rules (always)</w:t>
      </w:r>
    </w:p>
    <w:p>
      <w:pPr>
        <w:pStyle w:val="ListParagraph"/>
        <w:numPr>
          <w:ilvl w:val="0"/>
          <w:numId w:val="2"/>
        </w:numPr>
        <w:spacing w:after="60"/>
      </w:pPr>
      <w:r>
        <w:rPr>
          <w:sz w:val="21"/>
          <w:szCs w:val="21"/>
        </w:rPr>
        <w:t xml:space="preserve">Confidential material only in approved tools and accounts.</w:t>
      </w:r>
    </w:p>
    <w:p>
      <w:pPr>
        <w:pStyle w:val="ListParagraph"/>
        <w:numPr>
          <w:ilvl w:val="0"/>
          <w:numId w:val="2"/>
        </w:numPr>
        <w:spacing w:after="60"/>
      </w:pPr>
      <w:r>
        <w:rPr>
          <w:sz w:val="21"/>
          <w:szCs w:val="21"/>
        </w:rPr>
        <w:t xml:space="preserve">A human always reviews before anything is used or sent.</w:t>
      </w:r>
    </w:p>
    <w:p>
      <w:pPr>
        <w:spacing w:before="220"/>
        <w:jc w:val="center"/>
      </w:pPr>
      <w:r>
        <w:rPr>
          <w:i/>
          <w:iCs/>
          <w:color w:val="B7892B"/>
          <w:sz w:val="20"/>
          <w:szCs w:val="20"/>
        </w:rPr>
        <w:t xml:space="preserve">By Hans Tandt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Hans Tandt — AI Data Rules · keep alongside the Claude manuals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Rules — One Page</dc:title>
  <dc:creator>Hans Tandt</dc:creator>
  <cp:lastModifiedBy>Hans Tandt</cp:lastModifiedBy>
  <cp:revision>1</cp:revision>
  <dcterms:created xsi:type="dcterms:W3CDTF">2026-07-19T06:00:28.134Z</dcterms:created>
  <dcterms:modified xsi:type="dcterms:W3CDTF">2026-07-19T06:00:28.134Z</dcterms:modified>
</cp:coreProperties>
</file>

<file path=docProps/custom.xml><?xml version="1.0" encoding="utf-8"?>
<Properties xmlns="http://schemas.openxmlformats.org/officeDocument/2006/custom-properties" xmlns:vt="http://schemas.openxmlformats.org/officeDocument/2006/docPropsVTypes"/>
</file>