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A5F"/>
          <w:sz w:val="40"/>
          <w:szCs w:val="40"/>
        </w:rPr>
        <w:t xml:space="preserve">Règles de données IA — une page</w:t>
      </w:r>
    </w:p>
    <w:p>
      <w:pPr>
        <w:pBdr>
          <w:bottom w:val="single" w:color="B7892B" w:sz="6" w:space="4"/>
        </w:pBdr>
        <w:spacing w:after="160"/>
      </w:pPr>
      <w:r>
        <w:rPr>
          <w:color w:val="5A5A5A"/>
          <w:sz w:val="22"/>
          <w:szCs w:val="22"/>
        </w:rPr>
        <w:t xml:space="preserve">Avant de mettre quoi que ce soit dans Claude (Chat, Cowork ou Code).</w:t>
      </w:r>
    </w:p>
    <w:p>
      <w:pPr>
        <w:spacing w:after="120"/>
      </w:pPr>
      <w:r>
        <w:rPr>
          <w:i/>
          <w:iCs/>
          <w:color w:val="5A5A5A"/>
          <w:sz w:val="18"/>
          <w:szCs w:val="18"/>
        </w:rPr>
        <w:t xml:space="preserve">Version 1.1 · Juillet 2026 · Hans Tandt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B7892B" w:sz="2"/>
              <w:left w:val="single" w:color="B7892B" w:sz="18"/>
              <w:bottom w:val="single" w:color="B7892B" w:sz="2"/>
              <w:right w:val="single" w:color="B7892B" w:sz="2"/>
            </w:tcBorders>
            <w:shd w:fill="FFF6E0" w:val="clear"/>
            <w:tcMar>
              <w:top w:type="dxa" w:w="110"/>
              <w:left w:type="dxa" w:w="180"/>
              <w:bottom w:type="dxa" w:w="110"/>
              <w:right w:type="dxa" w:w="140"/>
            </w:tcMar>
          </w:tcPr>
          <w:p>
            <w:pPr>
              <w:spacing w:after="40"/>
            </w:pPr>
            <w:r>
              <w:rPr>
                <w:b/>
                <w:bCs/>
                <w:color w:val="9A6A00"/>
                <w:sz w:val="22"/>
                <w:szCs w:val="22"/>
              </w:rPr>
              <w:t xml:space="preserve">Le principe clé</w:t>
            </w:r>
          </w:p>
          <w:p>
            <w:r>
              <w:rPr>
                <w:sz w:val="20"/>
                <w:szCs w:val="20"/>
              </w:rPr>
              <w:t xml:space="preserve">Chat, Cowork et Code relèvent du flux de travail, pas de la confidentialité. Les trois envoient votre contenu aux serveurs d'Anthropic, donc “ça tourne sur mon ordinateur” ne rend PAS les données sensibles sûres. Classez d'abord la donnée. (Vous pouvez refuser l'usage de vos données pour l'entraînement dans Settings, Privacy — mais le traitement se fait toujours sur le serveur.)</w:t>
            </w:r>
          </w:p>
        </w:tc>
      </w:tr>
    </w:tbl>
    <w:p>
      <w:pPr>
        <w:spacing w:after="80" w:before="140"/>
      </w:pPr>
      <w:r>
        <w:rPr>
          <w:b/>
          <w:bCs/>
          <w:color w:val="1F3A5F"/>
          <w:sz w:val="22"/>
          <w:szCs w:val="22"/>
        </w:rPr>
        <w:t xml:space="preserve">La règle du feu tricolore</w:t>
      </w:r>
    </w:p>
    <w:tbl>
      <w:tblPr>
        <w:tblW w:type="dxa" w:w="9746"/>
        <w:tblBorders>
          <w:top w:val="single" w:color="CCCCCC" w:sz="1"/>
          <w:left w:val="single" w:color="CCCCCC" w:sz="1"/>
          <w:bottom w:val="single" w:color="CCCCCC" w:sz="1"/>
          <w:right w:val="single" w:color="CCCCCC" w:sz="1"/>
          <w:insideH w:val="single" w:color="CCCCCC" w:sz="1"/>
          <w:insideV w:val="single" w:color="CCCCCC" w:sz="1"/>
        </w:tblBorders>
      </w:tblPr>
      <w:tblGrid>
        <w:gridCol w:w="1500"/>
        <w:gridCol w:w="2400"/>
        <w:gridCol w:w="3346"/>
        <w:gridCol w:w="2400"/>
      </w:tblGrid>
      <w:tr>
        <w:trPr>
          <w:cantSplit/>
          <w:tblHeader/>
        </w:trPr>
        <w:tc>
          <w:tcPr>
            <w:tcW w:type="dxa" w:w="1500"/>
            <w:shd w:fill="1F3A5F" w:val="clear"/>
            <w:tcMar>
              <w:top w:type="dxa" w:w="70"/>
              <w:left w:type="dxa" w:w="110"/>
              <w:bottom w:type="dxa" w:w="70"/>
              <w:right w:type="dxa" w:w="110"/>
            </w:tcMar>
          </w:tcPr>
          <w:p>
            <w:r>
              <w:rPr>
                <w:b/>
                <w:bCs/>
                <w:color w:val="FFFFFF"/>
                <w:sz w:val="19"/>
                <w:szCs w:val="19"/>
              </w:rPr>
              <w:t xml:space="preserve">Feu</w:t>
            </w:r>
          </w:p>
        </w:tc>
        <w:tc>
          <w:tcPr>
            <w:tcW w:type="dxa" w:w="2400"/>
            <w:shd w:fill="1F3A5F" w:val="clear"/>
            <w:tcMar>
              <w:top w:type="dxa" w:w="70"/>
              <w:left w:type="dxa" w:w="110"/>
              <w:bottom w:type="dxa" w:w="70"/>
              <w:right w:type="dxa" w:w="110"/>
            </w:tcMar>
          </w:tcPr>
          <w:p>
            <w:r>
              <w:rPr>
                <w:b/>
                <w:bCs/>
                <w:color w:val="FFFFFF"/>
                <w:sz w:val="19"/>
                <w:szCs w:val="19"/>
              </w:rPr>
              <w:t xml:space="preserve">Signifie</w:t>
            </w:r>
          </w:p>
        </w:tc>
        <w:tc>
          <w:tcPr>
            <w:tcW w:type="dxa" w:w="3346"/>
            <w:shd w:fill="1F3A5F" w:val="clear"/>
            <w:tcMar>
              <w:top w:type="dxa" w:w="70"/>
              <w:left w:type="dxa" w:w="110"/>
              <w:bottom w:type="dxa" w:w="70"/>
              <w:right w:type="dxa" w:w="110"/>
            </w:tcMar>
          </w:tcPr>
          <w:p>
            <w:r>
              <w:rPr>
                <w:b/>
                <w:bCs/>
                <w:color w:val="FFFFFF"/>
                <w:sz w:val="19"/>
                <w:szCs w:val="19"/>
              </w:rPr>
              <w:t xml:space="preserve">Exemples</w:t>
            </w:r>
          </w:p>
        </w:tc>
        <w:tc>
          <w:tcPr>
            <w:tcW w:type="dxa" w:w="2400"/>
            <w:shd w:fill="1F3A5F" w:val="clear"/>
            <w:tcMar>
              <w:top w:type="dxa" w:w="70"/>
              <w:left w:type="dxa" w:w="110"/>
              <w:bottom w:type="dxa" w:w="70"/>
              <w:right w:type="dxa" w:w="110"/>
            </w:tcMar>
          </w:tcPr>
          <w:p>
            <w:r>
              <w:rPr>
                <w:b/>
                <w:bCs/>
                <w:color w:val="FFFFFF"/>
                <w:sz w:val="19"/>
                <w:szCs w:val="19"/>
              </w:rPr>
              <w:t xml:space="preserve">Que faire</w:t>
            </w:r>
          </w:p>
        </w:tc>
      </w:tr>
      <w:tr>
        <w:trPr>
          <w:cantSplit/>
        </w:trPr>
        <w:tc>
          <w:tcPr>
            <w:tcW w:type="dxa" w:w="1500"/>
            <w:shd w:fill="DDF0E0" w:val="clear"/>
            <w:tcMar>
              <w:top w:type="dxa" w:w="70"/>
              <w:left w:type="dxa" w:w="110"/>
              <w:bottom w:type="dxa" w:w="70"/>
              <w:right w:type="dxa" w:w="110"/>
            </w:tcMar>
          </w:tcPr>
          <w:p>
            <w:r>
              <w:rPr>
                <w:b/>
                <w:bCs/>
                <w:color w:val="1E7B34"/>
                <w:sz w:val="19"/>
                <w:szCs w:val="19"/>
              </w:rPr>
              <w:t xml:space="preserve">VERT</w:t>
            </w:r>
          </w:p>
        </w:tc>
        <w:tc>
          <w:tcPr>
            <w:tcW w:type="dxa" w:w="2400"/>
            <w:tcMar>
              <w:top w:type="dxa" w:w="70"/>
              <w:left w:type="dxa" w:w="110"/>
              <w:bottom w:type="dxa" w:w="70"/>
              <w:right w:type="dxa" w:w="110"/>
            </w:tcMar>
          </w:tcPr>
          <w:p>
            <w:r>
              <w:rPr>
                <w:b w:val="false"/>
                <w:bCs w:val="false"/>
                <w:color w:val="222222"/>
                <w:sz w:val="19"/>
                <w:szCs w:val="19"/>
              </w:rPr>
              <w:t xml:space="preserve">Public / sans risque</w:t>
            </w:r>
          </w:p>
        </w:tc>
        <w:tc>
          <w:tcPr>
            <w:tcW w:type="dxa" w:w="3346"/>
            <w:tcMar>
              <w:top w:type="dxa" w:w="70"/>
              <w:left w:type="dxa" w:w="110"/>
              <w:bottom w:type="dxa" w:w="70"/>
              <w:right w:type="dxa" w:w="110"/>
            </w:tcMar>
          </w:tcPr>
          <w:p>
            <w:r>
              <w:rPr>
                <w:b w:val="false"/>
                <w:bCs w:val="false"/>
                <w:color w:val="222222"/>
                <w:sz w:val="19"/>
                <w:szCs w:val="19"/>
              </w:rPr>
              <w:t xml:space="preserve">Infos publiques, textes marketing, questions générales.</w:t>
            </w:r>
          </w:p>
        </w:tc>
        <w:tc>
          <w:tcPr>
            <w:tcW w:type="dxa" w:w="2400"/>
            <w:tcMar>
              <w:top w:type="dxa" w:w="70"/>
              <w:left w:type="dxa" w:w="110"/>
              <w:bottom w:type="dxa" w:w="70"/>
              <w:right w:type="dxa" w:w="110"/>
            </w:tcMar>
          </w:tcPr>
          <w:p>
            <w:r>
              <w:rPr>
                <w:b w:val="false"/>
                <w:bCs w:val="false"/>
                <w:color w:val="222222"/>
                <w:sz w:val="19"/>
                <w:szCs w:val="19"/>
              </w:rPr>
              <w:t xml:space="preserve">Utiliser librement.</w:t>
            </w:r>
          </w:p>
        </w:tc>
      </w:tr>
      <w:tr>
        <w:trPr>
          <w:cantSplit/>
        </w:trPr>
        <w:tc>
          <w:tcPr>
            <w:tcW w:type="dxa" w:w="1500"/>
            <w:shd w:fill="FBE7C6" w:val="clear"/>
            <w:tcMar>
              <w:top w:type="dxa" w:w="70"/>
              <w:left w:type="dxa" w:w="110"/>
              <w:bottom w:type="dxa" w:w="70"/>
              <w:right w:type="dxa" w:w="110"/>
            </w:tcMar>
          </w:tcPr>
          <w:p>
            <w:r>
              <w:rPr>
                <w:b/>
                <w:bCs/>
                <w:color w:val="9A6A00"/>
                <w:sz w:val="19"/>
                <w:szCs w:val="19"/>
              </w:rPr>
              <w:t xml:space="preserve">ORANGE</w:t>
            </w:r>
          </w:p>
        </w:tc>
        <w:tc>
          <w:tcPr>
            <w:tcW w:type="dxa" w:w="2400"/>
            <w:tcMar>
              <w:top w:type="dxa" w:w="70"/>
              <w:left w:type="dxa" w:w="110"/>
              <w:bottom w:type="dxa" w:w="70"/>
              <w:right w:type="dxa" w:w="110"/>
            </w:tcMar>
          </w:tcPr>
          <w:p>
            <w:r>
              <w:rPr>
                <w:b w:val="false"/>
                <w:bCs w:val="false"/>
                <w:color w:val="222222"/>
                <w:sz w:val="19"/>
                <w:szCs w:val="19"/>
              </w:rPr>
              <w:t xml:space="preserve">Interne / opérationnel</w:t>
            </w:r>
          </w:p>
        </w:tc>
        <w:tc>
          <w:tcPr>
            <w:tcW w:type="dxa" w:w="3346"/>
            <w:tcMar>
              <w:top w:type="dxa" w:w="70"/>
              <w:left w:type="dxa" w:w="110"/>
              <w:bottom w:type="dxa" w:w="70"/>
              <w:right w:type="dxa" w:w="110"/>
            </w:tcMar>
          </w:tcPr>
          <w:p>
            <w:r>
              <w:rPr>
                <w:b w:val="false"/>
                <w:bCs w:val="false"/>
                <w:color w:val="222222"/>
                <w:sz w:val="19"/>
                <w:szCs w:val="19"/>
              </w:rPr>
              <w:t xml:space="preserve">Procédures internes, données d'entreprise non personnelles.</w:t>
            </w:r>
          </w:p>
        </w:tc>
        <w:tc>
          <w:tcPr>
            <w:tcW w:type="dxa" w:w="2400"/>
            <w:tcMar>
              <w:top w:type="dxa" w:w="70"/>
              <w:left w:type="dxa" w:w="110"/>
              <w:bottom w:type="dxa" w:w="70"/>
              <w:right w:type="dxa" w:w="110"/>
            </w:tcMar>
          </w:tcPr>
          <w:p>
            <w:r>
              <w:rPr>
                <w:b w:val="false"/>
                <w:bCs w:val="false"/>
                <w:color w:val="222222"/>
                <w:sz w:val="19"/>
                <w:szCs w:val="19"/>
              </w:rPr>
              <w:t xml:space="preserve">Autorisé dans les outils approuvés ; évitez les détails inutiles.</w:t>
            </w:r>
          </w:p>
        </w:tc>
      </w:tr>
      <w:tr>
        <w:trPr>
          <w:cantSplit/>
        </w:trPr>
        <w:tc>
          <w:tcPr>
            <w:tcW w:type="dxa" w:w="1500"/>
            <w:shd w:fill="F7D9D9" w:val="clear"/>
            <w:tcMar>
              <w:top w:type="dxa" w:w="70"/>
              <w:left w:type="dxa" w:w="110"/>
              <w:bottom w:type="dxa" w:w="70"/>
              <w:right w:type="dxa" w:w="110"/>
            </w:tcMar>
          </w:tcPr>
          <w:p>
            <w:r>
              <w:rPr>
                <w:b/>
                <w:bCs/>
                <w:color w:val="A62A2A"/>
                <w:sz w:val="19"/>
                <w:szCs w:val="19"/>
              </w:rPr>
              <w:t xml:space="preserve">ROUGE</w:t>
            </w:r>
          </w:p>
        </w:tc>
        <w:tc>
          <w:tcPr>
            <w:tcW w:type="dxa" w:w="2400"/>
            <w:tcMar>
              <w:top w:type="dxa" w:w="70"/>
              <w:left w:type="dxa" w:w="110"/>
              <w:bottom w:type="dxa" w:w="70"/>
              <w:right w:type="dxa" w:w="110"/>
            </w:tcMar>
          </w:tcPr>
          <w:p>
            <w:r>
              <w:rPr>
                <w:b w:val="false"/>
                <w:bCs w:val="false"/>
                <w:color w:val="222222"/>
                <w:sz w:val="19"/>
                <w:szCs w:val="19"/>
              </w:rPr>
              <w:t xml:space="preserve">Sensible</w:t>
            </w:r>
          </w:p>
        </w:tc>
        <w:tc>
          <w:tcPr>
            <w:tcW w:type="dxa" w:w="3346"/>
            <w:tcMar>
              <w:top w:type="dxa" w:w="70"/>
              <w:left w:type="dxa" w:w="110"/>
              <w:bottom w:type="dxa" w:w="70"/>
              <w:right w:type="dxa" w:w="110"/>
            </w:tcMar>
          </w:tcPr>
          <w:p>
            <w:r>
              <w:rPr>
                <w:b w:val="false"/>
                <w:bCs w:val="false"/>
                <w:color w:val="222222"/>
                <w:sz w:val="19"/>
                <w:szCs w:val="19"/>
              </w:rPr>
              <w:t xml:space="preserve">Données personnelles, litiges juridiques/garantie, contrats, dossiers d'accident.</w:t>
            </w:r>
          </w:p>
        </w:tc>
        <w:tc>
          <w:tcPr>
            <w:tcW w:type="dxa" w:w="2400"/>
            <w:tcMar>
              <w:top w:type="dxa" w:w="70"/>
              <w:left w:type="dxa" w:w="110"/>
              <w:bottom w:type="dxa" w:w="70"/>
              <w:right w:type="dxa" w:w="110"/>
            </w:tcMar>
          </w:tcPr>
          <w:p>
            <w:r>
              <w:rPr>
                <w:b w:val="false"/>
                <w:bCs w:val="false"/>
                <w:color w:val="222222"/>
                <w:sz w:val="19"/>
                <w:szCs w:val="19"/>
              </w:rPr>
              <w:t xml:space="preserve">Anonymiser, obtenir une approbation, ou ne pas mettre.</w:t>
            </w:r>
          </w:p>
        </w:tc>
      </w:tr>
    </w:tbl>
    <w:p>
      <w:pPr>
        <w:spacing w:after="80" w:before="160"/>
      </w:pPr>
      <w:r>
        <w:rPr>
          <w:b/>
          <w:bCs/>
          <w:color w:val="1F3A5F"/>
          <w:sz w:val="22"/>
          <w:szCs w:val="22"/>
        </w:rPr>
        <w:t xml:space="preserve">Deux règles de base (toujours)</w:t>
      </w:r>
    </w:p>
    <w:p>
      <w:pPr>
        <w:pStyle w:val="ListParagraph"/>
        <w:numPr>
          <w:ilvl w:val="0"/>
          <w:numId w:val="2"/>
        </w:numPr>
        <w:spacing w:after="60"/>
      </w:pPr>
      <w:r>
        <w:rPr>
          <w:sz w:val="21"/>
          <w:szCs w:val="21"/>
        </w:rPr>
        <w:t xml:space="preserve">Matériel confidentiel uniquement dans les outils et comptes approuvés.</w:t>
      </w:r>
    </w:p>
    <w:p>
      <w:pPr>
        <w:pStyle w:val="ListParagraph"/>
        <w:numPr>
          <w:ilvl w:val="0"/>
          <w:numId w:val="2"/>
        </w:numPr>
        <w:spacing w:after="60"/>
      </w:pPr>
      <w:r>
        <w:rPr>
          <w:sz w:val="21"/>
          <w:szCs w:val="21"/>
        </w:rPr>
        <w:t xml:space="preserve">Un humain vérifie toujours avant toute utilisation ou tout envoi.</w:t>
      </w:r>
    </w:p>
    <w:p>
      <w:pPr>
        <w:spacing w:before="220"/>
        <w:jc w:val="center"/>
      </w:pPr>
      <w:r>
        <w:rPr>
          <w:i/>
          <w:iCs/>
          <w:color w:val="B7892B"/>
          <w:sz w:val="20"/>
          <w:szCs w:val="20"/>
        </w:rPr>
        <w:t xml:space="preserve">By Hans Tandt</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A5A"/>
        <w:sz w:val="15"/>
        <w:szCs w:val="15"/>
      </w:rPr>
      <w:t xml:space="preserve">Hans Tandt — Règles de données IA · à garder avec les manuels Claude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Règles de données IA — une page</dc:title>
  <dc:creator>Hans Tandt</dc:creator>
  <cp:lastModifiedBy>Hans Tandt</cp:lastModifiedBy>
  <cp:revision>1</cp:revision>
  <dcterms:created xsi:type="dcterms:W3CDTF">2026-07-19T06:00:28.146Z</dcterms:created>
  <dcterms:modified xsi:type="dcterms:W3CDTF">2026-07-19T06:00:28.146Z</dcterms:modified>
</cp:coreProperties>
</file>

<file path=docProps/custom.xml><?xml version="1.0" encoding="utf-8"?>
<Properties xmlns="http://schemas.openxmlformats.org/officeDocument/2006/custom-properties" xmlns:vt="http://schemas.openxmlformats.org/officeDocument/2006/docPropsVTypes"/>
</file>