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0"/>
          <w:szCs w:val="40"/>
        </w:rPr>
        <w:t xml:space="preserve">AI-dataregels — één pagina</w:t>
      </w:r>
    </w:p>
    <w:p>
      <w:pPr>
        <w:pBdr>
          <w:bottom w:val="single" w:color="B7892B" w:sz="6" w:space="4"/>
        </w:pBdr>
        <w:spacing w:after="160"/>
      </w:pPr>
      <w:r>
        <w:rPr>
          <w:color w:val="5A5A5A"/>
          <w:sz w:val="22"/>
          <w:szCs w:val="22"/>
        </w:rPr>
        <w:t xml:space="preserve">Voor je iets in Claude zet (Chat, Cowork of Code).</w:t>
      </w:r>
    </w:p>
    <w:p>
      <w:pPr>
        <w:spacing w:after="120"/>
      </w:pPr>
      <w:r>
        <w:rPr>
          <w:i/>
          <w:iCs/>
          <w:color w:val="5A5A5A"/>
          <w:sz w:val="18"/>
          <w:szCs w:val="18"/>
        </w:rPr>
        <w:t xml:space="preserve">Versie 1.1 · Juli 2026 · Hans Tandt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cantSplit/>
        </w:trPr>
        <w:tc>
          <w:tcPr>
            <w:tcW w:type="dxa" w:w="9746"/>
            <w:tcBorders>
              <w:top w:val="single" w:color="B7892B" w:sz="2"/>
              <w:left w:val="single" w:color="B7892B" w:sz="18"/>
              <w:bottom w:val="single" w:color="B7892B" w:sz="2"/>
              <w:right w:val="single" w:color="B7892B" w:sz="2"/>
            </w:tcBorders>
            <w:shd w:fill="FFF6E0" w:val="clear"/>
            <w:tcMar>
              <w:top w:type="dxa" w:w="110"/>
              <w:left w:type="dxa" w:w="180"/>
              <w:bottom w:type="dxa" w:w="110"/>
              <w:right w:type="dxa" w:w="140"/>
            </w:tcMar>
          </w:tcPr>
          <w:p>
            <w:pPr>
              <w:spacing w:after="40"/>
            </w:pPr>
            <w:r>
              <w:rPr>
                <w:b/>
                <w:bCs/>
                <w:color w:val="9A6A00"/>
                <w:sz w:val="22"/>
                <w:szCs w:val="22"/>
              </w:rPr>
              <w:t xml:space="preserve">Het kernprincipe</w:t>
            </w:r>
          </w:p>
          <w:p>
            <w:r>
              <w:rPr>
                <w:sz w:val="20"/>
                <w:szCs w:val="20"/>
              </w:rPr>
              <w:t xml:space="preserve">Chat, Cowork en Code gaan over de werkwijze, niet over vertrouwelijkheid. Alle drie sturen je inhoud naar Anthropic's servers, dus “het draait op mijn computer” maakt gevoelige data NIET veilig. Classificeer eerst de data. (Je kunt het gebruik van je data voor training uitzetten in Settings, Privacy — maar de verwerking gebeurt nog steeds op de server.)</w:t>
            </w:r>
          </w:p>
        </w:tc>
      </w:tr>
    </w:tbl>
    <w:p>
      <w:pPr>
        <w:spacing w:after="80" w:before="140"/>
      </w:pPr>
      <w:r>
        <w:rPr>
          <w:b/>
          <w:bCs/>
          <w:color w:val="1F3A5F"/>
          <w:sz w:val="22"/>
          <w:szCs w:val="22"/>
        </w:rPr>
        <w:t xml:space="preserve">De verkeerslichtregel</w:t>
      </w:r>
    </w:p>
    <w:tbl>
      <w:tblPr>
        <w:tblW w:type="dxa" w:w="9746"/>
        <w:tblBorders>
          <w:top w:val="single" w:color="CCCCCC" w:sz="1"/>
          <w:left w:val="single" w:color="CCCCCC" w:sz="1"/>
          <w:bottom w:val="single" w:color="CCCCCC" w:sz="1"/>
          <w:right w:val="single" w:color="CCCCCC" w:sz="1"/>
          <w:insideH w:val="single" w:color="CCCCCC" w:sz="1"/>
          <w:insideV w:val="single" w:color="CCCCCC" w:sz="1"/>
        </w:tblBorders>
      </w:tblPr>
      <w:tblGrid>
        <w:gridCol w:w="1500"/>
        <w:gridCol w:w="2400"/>
        <w:gridCol w:w="3346"/>
        <w:gridCol w:w="2400"/>
      </w:tblGrid>
      <w:tr>
        <w:trPr>
          <w:cantSplit/>
          <w:tblHeader/>
        </w:trPr>
        <w:tc>
          <w:tcPr>
            <w:tcW w:type="dxa" w:w="1500"/>
            <w:shd w:fill="1F3A5F" w:val="clear"/>
            <w:tcMar>
              <w:top w:type="dxa" w:w="70"/>
              <w:left w:type="dxa" w:w="110"/>
              <w:bottom w:type="dxa" w:w="70"/>
              <w:right w:type="dxa" w:w="110"/>
            </w:tcMar>
          </w:tcPr>
          <w:p>
            <w:r>
              <w:rPr>
                <w:b/>
                <w:bCs/>
                <w:color w:val="FFFFFF"/>
                <w:sz w:val="19"/>
                <w:szCs w:val="19"/>
              </w:rPr>
              <w:t xml:space="preserve">Licht</w:t>
            </w:r>
          </w:p>
        </w:tc>
        <w:tc>
          <w:tcPr>
            <w:tcW w:type="dxa" w:w="2400"/>
            <w:shd w:fill="1F3A5F" w:val="clear"/>
            <w:tcMar>
              <w:top w:type="dxa" w:w="70"/>
              <w:left w:type="dxa" w:w="110"/>
              <w:bottom w:type="dxa" w:w="70"/>
              <w:right w:type="dxa" w:w="110"/>
            </w:tcMar>
          </w:tcPr>
          <w:p>
            <w:r>
              <w:rPr>
                <w:b/>
                <w:bCs/>
                <w:color w:val="FFFFFF"/>
                <w:sz w:val="19"/>
                <w:szCs w:val="19"/>
              </w:rPr>
              <w:t xml:space="preserve">Betekent</w:t>
            </w:r>
          </w:p>
        </w:tc>
        <w:tc>
          <w:tcPr>
            <w:tcW w:type="dxa" w:w="3346"/>
            <w:shd w:fill="1F3A5F" w:val="clear"/>
            <w:tcMar>
              <w:top w:type="dxa" w:w="70"/>
              <w:left w:type="dxa" w:w="110"/>
              <w:bottom w:type="dxa" w:w="70"/>
              <w:right w:type="dxa" w:w="110"/>
            </w:tcMar>
          </w:tcPr>
          <w:p>
            <w:r>
              <w:rPr>
                <w:b/>
                <w:bCs/>
                <w:color w:val="FFFFFF"/>
                <w:sz w:val="19"/>
                <w:szCs w:val="19"/>
              </w:rPr>
              <w:t xml:space="preserve">Voorbeelden</w:t>
            </w:r>
          </w:p>
        </w:tc>
        <w:tc>
          <w:tcPr>
            <w:tcW w:type="dxa" w:w="2400"/>
            <w:shd w:fill="1F3A5F" w:val="clear"/>
            <w:tcMar>
              <w:top w:type="dxa" w:w="70"/>
              <w:left w:type="dxa" w:w="110"/>
              <w:bottom w:type="dxa" w:w="70"/>
              <w:right w:type="dxa" w:w="110"/>
            </w:tcMar>
          </w:tcPr>
          <w:p>
            <w:r>
              <w:rPr>
                <w:b/>
                <w:bCs/>
                <w:color w:val="FFFFFF"/>
                <w:sz w:val="19"/>
                <w:szCs w:val="19"/>
              </w:rPr>
              <w:t xml:space="preserve">Wat te doen</w:t>
            </w:r>
          </w:p>
        </w:tc>
      </w:tr>
      <w:tr>
        <w:trPr>
          <w:cantSplit/>
        </w:trPr>
        <w:tc>
          <w:tcPr>
            <w:tcW w:type="dxa" w:w="1500"/>
            <w:shd w:fill="DDF0E0" w:val="clear"/>
            <w:tcMar>
              <w:top w:type="dxa" w:w="70"/>
              <w:left w:type="dxa" w:w="110"/>
              <w:bottom w:type="dxa" w:w="70"/>
              <w:right w:type="dxa" w:w="110"/>
            </w:tcMar>
          </w:tcPr>
          <w:p>
            <w:r>
              <w:rPr>
                <w:b/>
                <w:bCs/>
                <w:color w:val="1E7B34"/>
                <w:sz w:val="19"/>
                <w:szCs w:val="19"/>
              </w:rPr>
              <w:t xml:space="preserve">GROEN</w:t>
            </w:r>
          </w:p>
        </w:tc>
        <w:tc>
          <w:tcPr>
            <w:tcW w:type="dxa" w:w="2400"/>
            <w:tcMar>
              <w:top w:type="dxa" w:w="70"/>
              <w:left w:type="dxa" w:w="110"/>
              <w:bottom w:type="dxa" w:w="70"/>
              <w:right w:type="dxa" w:w="110"/>
            </w:tcMar>
          </w:tcPr>
          <w:p>
            <w:r>
              <w:rPr>
                <w:b w:val="false"/>
                <w:bCs w:val="false"/>
                <w:color w:val="222222"/>
                <w:sz w:val="19"/>
                <w:szCs w:val="19"/>
              </w:rPr>
              <w:t xml:space="preserve">Openbaar / onschadelijk</w:t>
            </w:r>
          </w:p>
        </w:tc>
        <w:tc>
          <w:tcPr>
            <w:tcW w:type="dxa" w:w="3346"/>
            <w:tcMar>
              <w:top w:type="dxa" w:w="70"/>
              <w:left w:type="dxa" w:w="110"/>
              <w:bottom w:type="dxa" w:w="70"/>
              <w:right w:type="dxa" w:w="110"/>
            </w:tcMar>
          </w:tcPr>
          <w:p>
            <w:r>
              <w:rPr>
                <w:b w:val="false"/>
                <w:bCs w:val="false"/>
                <w:color w:val="222222"/>
                <w:sz w:val="19"/>
                <w:szCs w:val="19"/>
              </w:rPr>
              <w:t xml:space="preserve">Openbare info, marketingtekst, algemene hoe-vragen.</w:t>
            </w:r>
          </w:p>
        </w:tc>
        <w:tc>
          <w:tcPr>
            <w:tcW w:type="dxa" w:w="2400"/>
            <w:tcMar>
              <w:top w:type="dxa" w:w="70"/>
              <w:left w:type="dxa" w:w="110"/>
              <w:bottom w:type="dxa" w:w="70"/>
              <w:right w:type="dxa" w:w="110"/>
            </w:tcMar>
          </w:tcPr>
          <w:p>
            <w:r>
              <w:rPr>
                <w:b w:val="false"/>
                <w:bCs w:val="false"/>
                <w:color w:val="222222"/>
                <w:sz w:val="19"/>
                <w:szCs w:val="19"/>
              </w:rPr>
              <w:t xml:space="preserve">Vrij gebruiken.</w:t>
            </w:r>
          </w:p>
        </w:tc>
      </w:tr>
      <w:tr>
        <w:trPr>
          <w:cantSplit/>
        </w:trPr>
        <w:tc>
          <w:tcPr>
            <w:tcW w:type="dxa" w:w="1500"/>
            <w:shd w:fill="FBE7C6" w:val="clear"/>
            <w:tcMar>
              <w:top w:type="dxa" w:w="70"/>
              <w:left w:type="dxa" w:w="110"/>
              <w:bottom w:type="dxa" w:w="70"/>
              <w:right w:type="dxa" w:w="110"/>
            </w:tcMar>
          </w:tcPr>
          <w:p>
            <w:r>
              <w:rPr>
                <w:b/>
                <w:bCs/>
                <w:color w:val="9A6A00"/>
                <w:sz w:val="19"/>
                <w:szCs w:val="19"/>
              </w:rPr>
              <w:t xml:space="preserve">ORANJE</w:t>
            </w:r>
          </w:p>
        </w:tc>
        <w:tc>
          <w:tcPr>
            <w:tcW w:type="dxa" w:w="2400"/>
            <w:tcMar>
              <w:top w:type="dxa" w:w="70"/>
              <w:left w:type="dxa" w:w="110"/>
              <w:bottom w:type="dxa" w:w="70"/>
              <w:right w:type="dxa" w:w="110"/>
            </w:tcMar>
          </w:tcPr>
          <w:p>
            <w:r>
              <w:rPr>
                <w:b w:val="false"/>
                <w:bCs w:val="false"/>
                <w:color w:val="222222"/>
                <w:sz w:val="19"/>
                <w:szCs w:val="19"/>
              </w:rPr>
              <w:t xml:space="preserve">Intern / operationeel</w:t>
            </w:r>
          </w:p>
        </w:tc>
        <w:tc>
          <w:tcPr>
            <w:tcW w:type="dxa" w:w="3346"/>
            <w:tcMar>
              <w:top w:type="dxa" w:w="70"/>
              <w:left w:type="dxa" w:w="110"/>
              <w:bottom w:type="dxa" w:w="70"/>
              <w:right w:type="dxa" w:w="110"/>
            </w:tcMar>
          </w:tcPr>
          <w:p>
            <w:r>
              <w:rPr>
                <w:b w:val="false"/>
                <w:bCs w:val="false"/>
                <w:color w:val="222222"/>
                <w:sz w:val="19"/>
                <w:szCs w:val="19"/>
              </w:rPr>
              <w:t xml:space="preserve">Interne procedures, niet-persoonlijke bedrijfsdata.</w:t>
            </w:r>
          </w:p>
        </w:tc>
        <w:tc>
          <w:tcPr>
            <w:tcW w:type="dxa" w:w="2400"/>
            <w:tcMar>
              <w:top w:type="dxa" w:w="70"/>
              <w:left w:type="dxa" w:w="110"/>
              <w:bottom w:type="dxa" w:w="70"/>
              <w:right w:type="dxa" w:w="110"/>
            </w:tcMar>
          </w:tcPr>
          <w:p>
            <w:r>
              <w:rPr>
                <w:b w:val="false"/>
                <w:bCs w:val="false"/>
                <w:color w:val="222222"/>
                <w:sz w:val="19"/>
                <w:szCs w:val="19"/>
              </w:rPr>
              <w:t xml:space="preserve">Toegestaan in goedgekeurde tools; vermijd onnodig detail.</w:t>
            </w:r>
          </w:p>
        </w:tc>
      </w:tr>
      <w:tr>
        <w:trPr>
          <w:cantSplit/>
        </w:trPr>
        <w:tc>
          <w:tcPr>
            <w:tcW w:type="dxa" w:w="1500"/>
            <w:shd w:fill="F7D9D9" w:val="clear"/>
            <w:tcMar>
              <w:top w:type="dxa" w:w="70"/>
              <w:left w:type="dxa" w:w="110"/>
              <w:bottom w:type="dxa" w:w="70"/>
              <w:right w:type="dxa" w:w="110"/>
            </w:tcMar>
          </w:tcPr>
          <w:p>
            <w:r>
              <w:rPr>
                <w:b/>
                <w:bCs/>
                <w:color w:val="A62A2A"/>
                <w:sz w:val="19"/>
                <w:szCs w:val="19"/>
              </w:rPr>
              <w:t xml:space="preserve">ROOD</w:t>
            </w:r>
          </w:p>
        </w:tc>
        <w:tc>
          <w:tcPr>
            <w:tcW w:type="dxa" w:w="2400"/>
            <w:tcMar>
              <w:top w:type="dxa" w:w="70"/>
              <w:left w:type="dxa" w:w="110"/>
              <w:bottom w:type="dxa" w:w="70"/>
              <w:right w:type="dxa" w:w="110"/>
            </w:tcMar>
          </w:tcPr>
          <w:p>
            <w:r>
              <w:rPr>
                <w:b w:val="false"/>
                <w:bCs w:val="false"/>
                <w:color w:val="222222"/>
                <w:sz w:val="19"/>
                <w:szCs w:val="19"/>
              </w:rPr>
              <w:t xml:space="preserve">Gevoelig</w:t>
            </w:r>
          </w:p>
        </w:tc>
        <w:tc>
          <w:tcPr>
            <w:tcW w:type="dxa" w:w="3346"/>
            <w:tcMar>
              <w:top w:type="dxa" w:w="70"/>
              <w:left w:type="dxa" w:w="110"/>
              <w:bottom w:type="dxa" w:w="70"/>
              <w:right w:type="dxa" w:w="110"/>
            </w:tcMar>
          </w:tcPr>
          <w:p>
            <w:r>
              <w:rPr>
                <w:b w:val="false"/>
                <w:bCs w:val="false"/>
                <w:color w:val="222222"/>
                <w:sz w:val="19"/>
                <w:szCs w:val="19"/>
              </w:rPr>
              <w:t xml:space="preserve">Persoonsgegevens, juridische/garantiegeschillen, contracten, ongevalsdossiers.</w:t>
            </w:r>
          </w:p>
        </w:tc>
        <w:tc>
          <w:tcPr>
            <w:tcW w:type="dxa" w:w="2400"/>
            <w:tcMar>
              <w:top w:type="dxa" w:w="70"/>
              <w:left w:type="dxa" w:w="110"/>
              <w:bottom w:type="dxa" w:w="70"/>
              <w:right w:type="dxa" w:w="110"/>
            </w:tcMar>
          </w:tcPr>
          <w:p>
            <w:r>
              <w:rPr>
                <w:b w:val="false"/>
                <w:bCs w:val="false"/>
                <w:color w:val="222222"/>
                <w:sz w:val="19"/>
                <w:szCs w:val="19"/>
              </w:rPr>
              <w:t xml:space="preserve">Anonimiseer, vraag goedkeuring, of houd buiten.</w:t>
            </w:r>
          </w:p>
        </w:tc>
      </w:tr>
    </w:tbl>
    <w:p>
      <w:pPr>
        <w:spacing w:after="80" w:before="160"/>
      </w:pPr>
      <w:r>
        <w:rPr>
          <w:b/>
          <w:bCs/>
          <w:color w:val="1F3A5F"/>
          <w:sz w:val="22"/>
          <w:szCs w:val="22"/>
        </w:rPr>
        <w:t xml:space="preserve">Twee basisregels (altijd)</w:t>
      </w:r>
    </w:p>
    <w:p>
      <w:pPr>
        <w:pStyle w:val="ListParagraph"/>
        <w:numPr>
          <w:ilvl w:val="0"/>
          <w:numId w:val="2"/>
        </w:numPr>
        <w:spacing w:after="60"/>
      </w:pPr>
      <w:r>
        <w:rPr>
          <w:sz w:val="21"/>
          <w:szCs w:val="21"/>
        </w:rPr>
        <w:t xml:space="preserve">Vertrouwelijk materiaal alleen in goedgekeurde tools en accounts.</w:t>
      </w:r>
    </w:p>
    <w:p>
      <w:pPr>
        <w:pStyle w:val="ListParagraph"/>
        <w:numPr>
          <w:ilvl w:val="0"/>
          <w:numId w:val="2"/>
        </w:numPr>
        <w:spacing w:after="60"/>
      </w:pPr>
      <w:r>
        <w:rPr>
          <w:sz w:val="21"/>
          <w:szCs w:val="21"/>
        </w:rPr>
        <w:t xml:space="preserve">Een mens controleert altijd voordat iets gebruikt of verstuurd wordt.</w:t>
      </w:r>
    </w:p>
    <w:p>
      <w:pPr>
        <w:spacing w:before="220"/>
        <w:jc w:val="center"/>
      </w:pPr>
      <w:r>
        <w:rPr>
          <w:i/>
          <w:iCs/>
          <w:color w:val="B7892B"/>
          <w:sz w:val="20"/>
          <w:szCs w:val="20"/>
        </w:rPr>
        <w:t xml:space="preserve">By Hans Tandt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5"/>
        <w:szCs w:val="15"/>
      </w:rPr>
      <w:t xml:space="preserve">Hans Tandt — AI-dataregels · te bewaren bij de Claude-handboeken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AI-dataregels — één pagina</dc:title>
  <dc:creator>Hans Tandt</dc:creator>
  <cp:lastModifiedBy>Hans Tandt</cp:lastModifiedBy>
  <cp:revision>1</cp:revision>
  <dcterms:created xsi:type="dcterms:W3CDTF">2026-07-19T07:05:19.058Z</dcterms:created>
  <dcterms:modified xsi:type="dcterms:W3CDTF">2026-07-19T07:05:19.058Z</dcterms:modified>
</cp:coreProperties>
</file>

<file path=docProps/custom.xml><?xml version="1.0" encoding="utf-8"?>
<Properties xmlns="http://schemas.openxmlformats.org/officeDocument/2006/custom-properties" xmlns:vt="http://schemas.openxmlformats.org/officeDocument/2006/docPropsVTypes"/>
</file>