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KI-Datenregeln — eine Seite</w:t>
      </w:r>
    </w:p>
    <w:p>
      <w:pPr>
        <w:pBdr>
          <w:bottom w:val="single" w:color="B7892B" w:sz="6" w:space="4"/>
        </w:pBdr>
        <w:spacing w:after="160"/>
      </w:pPr>
      <w:r>
        <w:rPr>
          <w:color w:val="5A5A5A"/>
          <w:sz w:val="22"/>
          <w:szCs w:val="22"/>
        </w:rPr>
        <w:t xml:space="preserve">Bevor Sie irgendetwas in Claude eingeben (Chat, Cowork oder Code).</w:t>
      </w:r>
    </w:p>
    <w:p>
      <w:pPr>
        <w:spacing w:after="120"/>
      </w:pPr>
      <w:r>
        <w:rPr>
          <w:i/>
          <w:iCs/>
          <w:color w:val="5A5A5A"/>
          <w:sz w:val="18"/>
          <w:szCs w:val="18"/>
        </w:rPr>
        <w:t xml:space="preserve">Version 1.1 · Juli 2026 · Hans Tandt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7892B" w:sz="2"/>
              <w:left w:val="single" w:color="B7892B" w:sz="18"/>
              <w:bottom w:val="single" w:color="B7892B" w:sz="2"/>
              <w:right w:val="single" w:color="B7892B" w:sz="2"/>
            </w:tcBorders>
            <w:shd w:fill="FFF6E0" w:val="clear"/>
            <w:tcMar>
              <w:top w:type="dxa" w:w="110"/>
              <w:left w:type="dxa" w:w="180"/>
              <w:bottom w:type="dxa" w:w="110"/>
              <w:right w:type="dxa" w:w="140"/>
            </w:tcMar>
          </w:tcPr>
          <w:p>
            <w:pPr>
              <w:spacing w:after="40"/>
            </w:pPr>
            <w:r>
              <w:rPr>
                <w:b/>
                <w:bCs/>
                <w:color w:val="9A6A00"/>
                <w:sz w:val="22"/>
                <w:szCs w:val="22"/>
              </w:rPr>
              <w:t xml:space="preserve">Das Grundprinzip</w:t>
            </w:r>
          </w:p>
          <w:p>
            <w:r>
              <w:rPr>
                <w:sz w:val="20"/>
                <w:szCs w:val="20"/>
              </w:rPr>
              <w:t xml:space="preserve">Bei Chat, Cowork und Code geht es um den Arbeitsablauf, nicht um Vertraulichkeit. Alle drei senden Ihre Inhalte an die Server von Anthropic. „Es läuft auf meinem Computer“ macht sensible Daten also NICHT sicher. Stufen Sie die Daten zuerst ein. (Unter Settings, Privacy können Sie verhindern, dass Ihre Daten fürs Training genutzt werden — verarbeitet werden sie aber trotzdem auf dem Server.)</w:t>
            </w:r>
          </w:p>
        </w:tc>
      </w:tr>
    </w:tbl>
    <w:p>
      <w:pPr>
        <w:spacing w:after="80" w:before="140"/>
      </w:pPr>
      <w:r>
        <w:rPr>
          <w:b/>
          <w:bCs/>
          <w:color w:val="1F3A5F"/>
          <w:sz w:val="22"/>
          <w:szCs w:val="22"/>
        </w:rPr>
        <w:t xml:space="preserve">Die Ampelregel</w:t>
      </w:r>
    </w:p>
    <w:tbl>
      <w:tblPr>
        <w:tblW w:type="dxa" w:w="9746"/>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2400"/>
        <w:gridCol w:w="3346"/>
        <w:gridCol w:w="2400"/>
      </w:tblGrid>
      <w:tr>
        <w:trPr>
          <w:cantSplit/>
          <w:tblHeader/>
        </w:trPr>
        <w:tc>
          <w:tcPr>
            <w:tcW w:type="dxa" w:w="1500"/>
            <w:shd w:fill="1F3A5F" w:val="clear"/>
            <w:tcMar>
              <w:top w:type="dxa" w:w="70"/>
              <w:left w:type="dxa" w:w="110"/>
              <w:bottom w:type="dxa" w:w="70"/>
              <w:right w:type="dxa" w:w="110"/>
            </w:tcMar>
          </w:tcPr>
          <w:p>
            <w:r>
              <w:rPr>
                <w:b/>
                <w:bCs/>
                <w:color w:val="FFFFFF"/>
                <w:sz w:val="19"/>
                <w:szCs w:val="19"/>
              </w:rPr>
              <w:t xml:space="preserve">Ampel</w:t>
            </w:r>
          </w:p>
        </w:tc>
        <w:tc>
          <w:tcPr>
            <w:tcW w:type="dxa" w:w="2400"/>
            <w:shd w:fill="1F3A5F" w:val="clear"/>
            <w:tcMar>
              <w:top w:type="dxa" w:w="70"/>
              <w:left w:type="dxa" w:w="110"/>
              <w:bottom w:type="dxa" w:w="70"/>
              <w:right w:type="dxa" w:w="110"/>
            </w:tcMar>
          </w:tcPr>
          <w:p>
            <w:r>
              <w:rPr>
                <w:b/>
                <w:bCs/>
                <w:color w:val="FFFFFF"/>
                <w:sz w:val="19"/>
                <w:szCs w:val="19"/>
              </w:rPr>
              <w:t xml:space="preserve">Bedeutung</w:t>
            </w:r>
          </w:p>
        </w:tc>
        <w:tc>
          <w:tcPr>
            <w:tcW w:type="dxa" w:w="3346"/>
            <w:shd w:fill="1F3A5F" w:val="clear"/>
            <w:tcMar>
              <w:top w:type="dxa" w:w="70"/>
              <w:left w:type="dxa" w:w="110"/>
              <w:bottom w:type="dxa" w:w="70"/>
              <w:right w:type="dxa" w:w="110"/>
            </w:tcMar>
          </w:tcPr>
          <w:p>
            <w:r>
              <w:rPr>
                <w:b/>
                <w:bCs/>
                <w:color w:val="FFFFFF"/>
                <w:sz w:val="19"/>
                <w:szCs w:val="19"/>
              </w:rPr>
              <w:t xml:space="preserve">Beispiele</w:t>
            </w:r>
          </w:p>
        </w:tc>
        <w:tc>
          <w:tcPr>
            <w:tcW w:type="dxa" w:w="2400"/>
            <w:shd w:fill="1F3A5F" w:val="clear"/>
            <w:tcMar>
              <w:top w:type="dxa" w:w="70"/>
              <w:left w:type="dxa" w:w="110"/>
              <w:bottom w:type="dxa" w:w="70"/>
              <w:right w:type="dxa" w:w="110"/>
            </w:tcMar>
          </w:tcPr>
          <w:p>
            <w:r>
              <w:rPr>
                <w:b/>
                <w:bCs/>
                <w:color w:val="FFFFFF"/>
                <w:sz w:val="19"/>
                <w:szCs w:val="19"/>
              </w:rPr>
              <w:t xml:space="preserve">Was tun</w:t>
            </w:r>
          </w:p>
        </w:tc>
      </w:tr>
      <w:tr>
        <w:trPr>
          <w:cantSplit/>
        </w:trPr>
        <w:tc>
          <w:tcPr>
            <w:tcW w:type="dxa" w:w="1500"/>
            <w:shd w:fill="DDF0E0" w:val="clear"/>
            <w:tcMar>
              <w:top w:type="dxa" w:w="70"/>
              <w:left w:type="dxa" w:w="110"/>
              <w:bottom w:type="dxa" w:w="70"/>
              <w:right w:type="dxa" w:w="110"/>
            </w:tcMar>
          </w:tcPr>
          <w:p>
            <w:r>
              <w:rPr>
                <w:b/>
                <w:bCs/>
                <w:color w:val="1E7B34"/>
                <w:sz w:val="19"/>
                <w:szCs w:val="19"/>
              </w:rPr>
              <w:t xml:space="preserve">GRÜN</w:t>
            </w:r>
          </w:p>
        </w:tc>
        <w:tc>
          <w:tcPr>
            <w:tcW w:type="dxa" w:w="2400"/>
            <w:tcMar>
              <w:top w:type="dxa" w:w="70"/>
              <w:left w:type="dxa" w:w="110"/>
              <w:bottom w:type="dxa" w:w="70"/>
              <w:right w:type="dxa" w:w="110"/>
            </w:tcMar>
          </w:tcPr>
          <w:p>
            <w:r>
              <w:rPr>
                <w:b w:val="false"/>
                <w:bCs w:val="false"/>
                <w:color w:val="222222"/>
                <w:sz w:val="19"/>
                <w:szCs w:val="19"/>
              </w:rPr>
              <w:t xml:space="preserve">Öffentlich / harmlos</w:t>
            </w:r>
          </w:p>
        </w:tc>
        <w:tc>
          <w:tcPr>
            <w:tcW w:type="dxa" w:w="3346"/>
            <w:tcMar>
              <w:top w:type="dxa" w:w="70"/>
              <w:left w:type="dxa" w:w="110"/>
              <w:bottom w:type="dxa" w:w="70"/>
              <w:right w:type="dxa" w:w="110"/>
            </w:tcMar>
          </w:tcPr>
          <w:p>
            <w:r>
              <w:rPr>
                <w:b w:val="false"/>
                <w:bCs w:val="false"/>
                <w:color w:val="222222"/>
                <w:sz w:val="19"/>
                <w:szCs w:val="19"/>
              </w:rPr>
              <w:t xml:space="preserve">Öffentliche Informationen, Marketingtexte, allgemeine Fragen zur Vorgehensweise.</w:t>
            </w:r>
          </w:p>
        </w:tc>
        <w:tc>
          <w:tcPr>
            <w:tcW w:type="dxa" w:w="2400"/>
            <w:tcMar>
              <w:top w:type="dxa" w:w="70"/>
              <w:left w:type="dxa" w:w="110"/>
              <w:bottom w:type="dxa" w:w="70"/>
              <w:right w:type="dxa" w:w="110"/>
            </w:tcMar>
          </w:tcPr>
          <w:p>
            <w:r>
              <w:rPr>
                <w:b w:val="false"/>
                <w:bCs w:val="false"/>
                <w:color w:val="222222"/>
                <w:sz w:val="19"/>
                <w:szCs w:val="19"/>
              </w:rPr>
              <w:t xml:space="preserve">Frei nutzen.</w:t>
            </w:r>
          </w:p>
        </w:tc>
      </w:tr>
      <w:tr>
        <w:trPr>
          <w:cantSplit/>
        </w:trPr>
        <w:tc>
          <w:tcPr>
            <w:tcW w:type="dxa" w:w="1500"/>
            <w:shd w:fill="FBE7C6" w:val="clear"/>
            <w:tcMar>
              <w:top w:type="dxa" w:w="70"/>
              <w:left w:type="dxa" w:w="110"/>
              <w:bottom w:type="dxa" w:w="70"/>
              <w:right w:type="dxa" w:w="110"/>
            </w:tcMar>
          </w:tcPr>
          <w:p>
            <w:r>
              <w:rPr>
                <w:b/>
                <w:bCs/>
                <w:color w:val="9A6A00"/>
                <w:sz w:val="19"/>
                <w:szCs w:val="19"/>
              </w:rPr>
              <w:t xml:space="preserve">ORANGE</w:t>
            </w:r>
          </w:p>
        </w:tc>
        <w:tc>
          <w:tcPr>
            <w:tcW w:type="dxa" w:w="2400"/>
            <w:tcMar>
              <w:top w:type="dxa" w:w="70"/>
              <w:left w:type="dxa" w:w="110"/>
              <w:bottom w:type="dxa" w:w="70"/>
              <w:right w:type="dxa" w:w="110"/>
            </w:tcMar>
          </w:tcPr>
          <w:p>
            <w:r>
              <w:rPr>
                <w:b w:val="false"/>
                <w:bCs w:val="false"/>
                <w:color w:val="222222"/>
                <w:sz w:val="19"/>
                <w:szCs w:val="19"/>
              </w:rPr>
              <w:t xml:space="preserve">Intern / betrieblich</w:t>
            </w:r>
          </w:p>
        </w:tc>
        <w:tc>
          <w:tcPr>
            <w:tcW w:type="dxa" w:w="3346"/>
            <w:tcMar>
              <w:top w:type="dxa" w:w="70"/>
              <w:left w:type="dxa" w:w="110"/>
              <w:bottom w:type="dxa" w:w="70"/>
              <w:right w:type="dxa" w:w="110"/>
            </w:tcMar>
          </w:tcPr>
          <w:p>
            <w:r>
              <w:rPr>
                <w:b w:val="false"/>
                <w:bCs w:val="false"/>
                <w:color w:val="222222"/>
                <w:sz w:val="19"/>
                <w:szCs w:val="19"/>
              </w:rPr>
              <w:t xml:space="preserve">Interne Abläufe, nicht personenbezogene Unternehmensdaten.</w:t>
            </w:r>
          </w:p>
        </w:tc>
        <w:tc>
          <w:tcPr>
            <w:tcW w:type="dxa" w:w="2400"/>
            <w:tcMar>
              <w:top w:type="dxa" w:w="70"/>
              <w:left w:type="dxa" w:w="110"/>
              <w:bottom w:type="dxa" w:w="70"/>
              <w:right w:type="dxa" w:w="110"/>
            </w:tcMar>
          </w:tcPr>
          <w:p>
            <w:r>
              <w:rPr>
                <w:b w:val="false"/>
                <w:bCs w:val="false"/>
                <w:color w:val="222222"/>
                <w:sz w:val="19"/>
                <w:szCs w:val="19"/>
              </w:rPr>
              <w:t xml:space="preserve">In freigegebenen Tools erlaubt; unnötige Details vermeiden.</w:t>
            </w:r>
          </w:p>
        </w:tc>
      </w:tr>
      <w:tr>
        <w:trPr>
          <w:cantSplit/>
        </w:trPr>
        <w:tc>
          <w:tcPr>
            <w:tcW w:type="dxa" w:w="1500"/>
            <w:shd w:fill="F7D9D9" w:val="clear"/>
            <w:tcMar>
              <w:top w:type="dxa" w:w="70"/>
              <w:left w:type="dxa" w:w="110"/>
              <w:bottom w:type="dxa" w:w="70"/>
              <w:right w:type="dxa" w:w="110"/>
            </w:tcMar>
          </w:tcPr>
          <w:p>
            <w:r>
              <w:rPr>
                <w:b/>
                <w:bCs/>
                <w:color w:val="A62A2A"/>
                <w:sz w:val="19"/>
                <w:szCs w:val="19"/>
              </w:rPr>
              <w:t xml:space="preserve">ROT</w:t>
            </w:r>
          </w:p>
        </w:tc>
        <w:tc>
          <w:tcPr>
            <w:tcW w:type="dxa" w:w="2400"/>
            <w:tcMar>
              <w:top w:type="dxa" w:w="70"/>
              <w:left w:type="dxa" w:w="110"/>
              <w:bottom w:type="dxa" w:w="70"/>
              <w:right w:type="dxa" w:w="110"/>
            </w:tcMar>
          </w:tcPr>
          <w:p>
            <w:r>
              <w:rPr>
                <w:b w:val="false"/>
                <w:bCs w:val="false"/>
                <w:color w:val="222222"/>
                <w:sz w:val="19"/>
                <w:szCs w:val="19"/>
              </w:rPr>
              <w:t xml:space="preserve">Sensibel</w:t>
            </w:r>
          </w:p>
        </w:tc>
        <w:tc>
          <w:tcPr>
            <w:tcW w:type="dxa" w:w="3346"/>
            <w:tcMar>
              <w:top w:type="dxa" w:w="70"/>
              <w:left w:type="dxa" w:w="110"/>
              <w:bottom w:type="dxa" w:w="70"/>
              <w:right w:type="dxa" w:w="110"/>
            </w:tcMar>
          </w:tcPr>
          <w:p>
            <w:r>
              <w:rPr>
                <w:b w:val="false"/>
                <w:bCs w:val="false"/>
                <w:color w:val="222222"/>
                <w:sz w:val="19"/>
                <w:szCs w:val="19"/>
              </w:rPr>
              <w:t xml:space="preserve">Personenbezogene Daten, Rechts- und Gewährleistungsstreitigkeiten, Verträge, Unfallakten.</w:t>
            </w:r>
          </w:p>
        </w:tc>
        <w:tc>
          <w:tcPr>
            <w:tcW w:type="dxa" w:w="2400"/>
            <w:tcMar>
              <w:top w:type="dxa" w:w="70"/>
              <w:left w:type="dxa" w:w="110"/>
              <w:bottom w:type="dxa" w:w="70"/>
              <w:right w:type="dxa" w:w="110"/>
            </w:tcMar>
          </w:tcPr>
          <w:p>
            <w:r>
              <w:rPr>
                <w:b w:val="false"/>
                <w:bCs w:val="false"/>
                <w:color w:val="222222"/>
                <w:sz w:val="19"/>
                <w:szCs w:val="19"/>
              </w:rPr>
              <w:t xml:space="preserve">Anonymisieren, Freigabe einholen oder draußen lassen.</w:t>
            </w:r>
          </w:p>
        </w:tc>
      </w:tr>
    </w:tbl>
    <w:p>
      <w:pPr>
        <w:spacing w:after="80" w:before="160"/>
      </w:pPr>
      <w:r>
        <w:rPr>
          <w:b/>
          <w:bCs/>
          <w:color w:val="1F3A5F"/>
          <w:sz w:val="22"/>
          <w:szCs w:val="22"/>
        </w:rPr>
        <w:t xml:space="preserve">Zwei Grundregeln (immer)</w:t>
      </w:r>
    </w:p>
    <w:p>
      <w:pPr>
        <w:pStyle w:val="ListParagraph"/>
        <w:numPr>
          <w:ilvl w:val="0"/>
          <w:numId w:val="2"/>
        </w:numPr>
        <w:spacing w:after="60"/>
      </w:pPr>
      <w:r>
        <w:rPr>
          <w:sz w:val="21"/>
          <w:szCs w:val="21"/>
        </w:rPr>
        <w:t xml:space="preserve">Vertrauliches Material nur in freigegebenen Tools und Konten.</w:t>
      </w:r>
    </w:p>
    <w:p>
      <w:pPr>
        <w:pStyle w:val="ListParagraph"/>
        <w:numPr>
          <w:ilvl w:val="0"/>
          <w:numId w:val="2"/>
        </w:numPr>
        <w:spacing w:after="60"/>
      </w:pPr>
      <w:r>
        <w:rPr>
          <w:sz w:val="21"/>
          <w:szCs w:val="21"/>
        </w:rPr>
        <w:t xml:space="preserve">Ein Mensch prüft immer, bevor etwas verwendet oder versendet wird.</w:t>
      </w:r>
    </w:p>
    <w:p>
      <w:pPr>
        <w:spacing w:before="220"/>
        <w:jc w:val="center"/>
      </w:pPr>
      <w:r>
        <w:rPr>
          <w:i/>
          <w:iCs/>
          <w:color w:val="B7892B"/>
          <w:sz w:val="20"/>
          <w:szCs w:val="20"/>
        </w:rPr>
        <w:t xml:space="preserve">Von Hans Tandt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Hans Tandt — KI-Datenregeln · zu den Claude-Handbüchern legen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KI-Datenregeln — eine Seite</dc:title>
  <dc:creator>Hans Tandt</dc:creator>
  <cp:lastModifiedBy>Hans Tandt</cp:lastModifiedBy>
  <cp:revision>1</cp:revision>
  <dcterms:created xsi:type="dcterms:W3CDTF">2026-07-19T06:00:28.134Z</dcterms:created>
  <dcterms:modified xsi:type="dcterms:W3CDTF">2026-07-19T06:00:28.134Z</dcterms:modified>
</cp:coreProperties>
</file>

<file path=docProps/custom.xml><?xml version="1.0" encoding="utf-8"?>
<Properties xmlns="http://schemas.openxmlformats.org/officeDocument/2006/custom-properties" xmlns:vt="http://schemas.openxmlformats.org/officeDocument/2006/docPropsVTypes"/>
</file>