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5025"/>
        <w:gridCol w:w="5025"/>
      </w:tblGrid>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DH001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proofErr w:type="spellStart"/>
            <w:r w:rsidRPr="00CD411B">
              <w:rPr>
                <w:rFonts w:ascii="Franklin Gothic Book" w:hAnsi="Franklin Gothic Book" w:cs="Franklin Gothic Book"/>
                <w:color w:val="000000"/>
                <w:sz w:val="20"/>
                <w:szCs w:val="20"/>
              </w:rPr>
              <w:t>RSh</w:t>
            </w:r>
            <w:proofErr w:type="spellEnd"/>
            <w:r w:rsidRPr="00CD411B">
              <w:rPr>
                <w:rFonts w:ascii="Franklin Gothic Book" w:hAnsi="Franklin Gothic Book" w:cs="Franklin Gothic Book"/>
                <w:color w:val="000000"/>
                <w:sz w:val="20"/>
                <w:szCs w:val="20"/>
              </w:rPr>
              <w:t xml:space="preserve"> 1: Giftig bei Kontakt mit den Augen. </w:t>
            </w:r>
          </w:p>
        </w:tc>
      </w:tr>
      <w:tr w:rsidR="00CD411B" w:rsidRPr="00CD411B">
        <w:tblPrEx>
          <w:tblCellMar>
            <w:top w:w="0" w:type="dxa"/>
            <w:bottom w:w="0" w:type="dxa"/>
          </w:tblCellMar>
        </w:tblPrEx>
        <w:trPr>
          <w:trHeight w:val="202"/>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EO001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proofErr w:type="spellStart"/>
            <w:r w:rsidRPr="00CD411B">
              <w:rPr>
                <w:rFonts w:ascii="Franklin Gothic Book" w:hAnsi="Franklin Gothic Book" w:cs="Franklin Gothic Book"/>
                <w:color w:val="000000"/>
                <w:sz w:val="20"/>
                <w:szCs w:val="20"/>
              </w:rPr>
              <w:t>SPo</w:t>
            </w:r>
            <w:proofErr w:type="spellEnd"/>
            <w:r w:rsidRPr="00CD411B">
              <w:rPr>
                <w:rFonts w:ascii="Franklin Gothic Book" w:hAnsi="Franklin Gothic Book" w:cs="Franklin Gothic Book"/>
                <w:color w:val="000000"/>
                <w:sz w:val="20"/>
                <w:szCs w:val="20"/>
              </w:rPr>
              <w:t xml:space="preserve"> 1: Nach Kontakt mit der Haut zuerst das Mittel mit einem trockenen Tuch entfernen und dann die Haut mit reichlich Wasser abspülen.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EO002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proofErr w:type="spellStart"/>
            <w:r w:rsidRPr="00CD411B">
              <w:rPr>
                <w:rFonts w:ascii="Franklin Gothic Book" w:hAnsi="Franklin Gothic Book" w:cs="Franklin Gothic Book"/>
                <w:color w:val="000000"/>
                <w:sz w:val="20"/>
                <w:szCs w:val="20"/>
              </w:rPr>
              <w:t>SPo</w:t>
            </w:r>
            <w:proofErr w:type="spellEnd"/>
            <w:r w:rsidRPr="00CD411B">
              <w:rPr>
                <w:rFonts w:ascii="Franklin Gothic Book" w:hAnsi="Franklin Gothic Book" w:cs="Franklin Gothic Book"/>
                <w:color w:val="000000"/>
                <w:sz w:val="20"/>
                <w:szCs w:val="20"/>
              </w:rPr>
              <w:t xml:space="preserve"> 2: Die gesamte Schutzkleidung muss nach Gebrauch gewaschen werden.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EO005-1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proofErr w:type="spellStart"/>
            <w:r w:rsidRPr="00CD411B">
              <w:rPr>
                <w:rFonts w:ascii="Franklin Gothic Book" w:hAnsi="Franklin Gothic Book" w:cs="Franklin Gothic Book"/>
                <w:color w:val="000000"/>
                <w:sz w:val="20"/>
                <w:szCs w:val="20"/>
              </w:rPr>
              <w:t>SPo</w:t>
            </w:r>
            <w:proofErr w:type="spellEnd"/>
            <w:r w:rsidRPr="00CD411B">
              <w:rPr>
                <w:rFonts w:ascii="Franklin Gothic Book" w:hAnsi="Franklin Gothic Book" w:cs="Franklin Gothic Book"/>
                <w:color w:val="000000"/>
                <w:sz w:val="20"/>
                <w:szCs w:val="20"/>
              </w:rPr>
              <w:t xml:space="preserve"> 5: Wiederbetreten der behandelten Fläche erst nach Abtrocknung des Spritzbelages.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EO005-2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proofErr w:type="spellStart"/>
            <w:r w:rsidRPr="00CD411B">
              <w:rPr>
                <w:rFonts w:ascii="Franklin Gothic Book" w:hAnsi="Franklin Gothic Book" w:cs="Franklin Gothic Book"/>
                <w:color w:val="000000"/>
                <w:sz w:val="20"/>
                <w:szCs w:val="20"/>
              </w:rPr>
              <w:t>SPo</w:t>
            </w:r>
            <w:proofErr w:type="spellEnd"/>
            <w:r w:rsidRPr="00CD411B">
              <w:rPr>
                <w:rFonts w:ascii="Franklin Gothic Book" w:hAnsi="Franklin Gothic Book" w:cs="Franklin Gothic Book"/>
                <w:color w:val="000000"/>
                <w:sz w:val="20"/>
                <w:szCs w:val="20"/>
              </w:rPr>
              <w:t xml:space="preserve"> 5: Vor dem Wiederbetreten ist das Gewächshaus gründlich zu lüften. </w:t>
            </w:r>
          </w:p>
        </w:tc>
      </w:tr>
      <w:tr w:rsidR="00CD411B" w:rsidRPr="00CD411B">
        <w:tblPrEx>
          <w:tblCellMar>
            <w:top w:w="0" w:type="dxa"/>
            <w:bottom w:w="0" w:type="dxa"/>
          </w:tblCellMar>
        </w:tblPrEx>
        <w:trPr>
          <w:trHeight w:val="202"/>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HS110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Für den Haus- und Kleingartenbereich entfällt die Kennzeichnungsauflage SS110: „Universal-Schutzhandschuhe (Pflanzenschutz) tragen beim Umgang mit dem unverdünnten Mittel“. </w:t>
            </w:r>
          </w:p>
        </w:tc>
      </w:tr>
      <w:tr w:rsidR="00CD411B" w:rsidRPr="00CD411B">
        <w:tblPrEx>
          <w:tblCellMar>
            <w:top w:w="0" w:type="dxa"/>
            <w:bottom w:w="0" w:type="dxa"/>
          </w:tblCellMar>
        </w:tblPrEx>
        <w:trPr>
          <w:trHeight w:val="315"/>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HS2101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Für den Haus- und Kleingartenbereich entfällt die Kennzeichnungsauflage SS2101: „Schutzanzug gegen Pflanzenschutzmittel und festes Schuhwerk (z.B. Gummistiefel) tragen beim Umgang mit dem unverdünnten Mittel“. </w:t>
            </w:r>
          </w:p>
        </w:tc>
      </w:tr>
      <w:tr w:rsidR="00CD411B" w:rsidRPr="00CD411B">
        <w:tblPrEx>
          <w:tblCellMar>
            <w:top w:w="0" w:type="dxa"/>
            <w:bottom w:w="0" w:type="dxa"/>
          </w:tblCellMar>
        </w:tblPrEx>
        <w:trPr>
          <w:trHeight w:val="315"/>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HS2202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Für den Haus- und Kleingartenbereich entfällt die Kennzeichnungsauflage SS2202: „Schutzanzug gegen Pflanzenschutzmittel und festes Schuhwerk (z.B. Gummistiefel) tragen bei der Ausbringung/Handhabung des anwendungsfertigen Mittels“.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SB001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r w:rsidRPr="00CD411B">
              <w:rPr>
                <w:rFonts w:ascii="Franklin Gothic Book" w:hAnsi="Franklin Gothic Book" w:cs="Franklin Gothic Book"/>
                <w:color w:val="000000"/>
                <w:sz w:val="20"/>
                <w:szCs w:val="20"/>
              </w:rPr>
              <w:t xml:space="preserve">Jeden unnötigen Kontakt mit dem Mittel vermeiden. Missbrauch kann zu Gesundheitsschäden führen.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SB010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r w:rsidRPr="00CD411B">
              <w:rPr>
                <w:rFonts w:ascii="Franklin Gothic Book" w:hAnsi="Franklin Gothic Book" w:cs="Franklin Gothic Book"/>
                <w:color w:val="000000"/>
                <w:sz w:val="20"/>
                <w:szCs w:val="20"/>
              </w:rPr>
              <w:t xml:space="preserve">Für Kinder unzugänglich aufbewahren.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SB011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r w:rsidRPr="00CD411B">
              <w:rPr>
                <w:rFonts w:ascii="Franklin Gothic Book" w:hAnsi="Franklin Gothic Book" w:cs="Franklin Gothic Book"/>
                <w:color w:val="000000"/>
                <w:sz w:val="20"/>
                <w:szCs w:val="20"/>
              </w:rPr>
              <w:t xml:space="preserve">Kinder fernhalten. </w:t>
            </w:r>
          </w:p>
        </w:tc>
      </w:tr>
      <w:tr w:rsidR="00CD411B" w:rsidRPr="00CD411B">
        <w:tblPrEx>
          <w:tblCellMar>
            <w:top w:w="0" w:type="dxa"/>
            <w:bottom w:w="0" w:type="dxa"/>
          </w:tblCellMar>
        </w:tblPrEx>
        <w:trPr>
          <w:trHeight w:val="315"/>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SB110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Die Richtlinie für die Anforderungen an die persönliche Schutzausrüstung im Pflanzenschutz „Persönliche Schutzausrüstung beim Umgang mit Pflanzenschutzmitteln“ des Bundesamtes für Verbraucherschutz und Lebensmittelsicherheit ist zu beachten. </w:t>
            </w:r>
          </w:p>
        </w:tc>
      </w:tr>
      <w:tr w:rsidR="00CD411B" w:rsidRPr="00CD411B">
        <w:tblPrEx>
          <w:tblCellMar>
            <w:top w:w="0" w:type="dxa"/>
            <w:bottom w:w="0" w:type="dxa"/>
          </w:tblCellMar>
        </w:tblPrEx>
        <w:trPr>
          <w:trHeight w:val="202"/>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SB165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Der Genuss von Alkohol vor, während und nach dem Arbeiten mit dem Pflanzenschutzmittel muss unterbleiben. </w:t>
            </w:r>
          </w:p>
        </w:tc>
      </w:tr>
      <w:tr w:rsidR="00CD411B" w:rsidRPr="00CD411B">
        <w:tblPrEx>
          <w:tblCellMar>
            <w:top w:w="0" w:type="dxa"/>
            <w:bottom w:w="0" w:type="dxa"/>
          </w:tblCellMar>
        </w:tblPrEx>
        <w:trPr>
          <w:trHeight w:val="429"/>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SB193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Das Pflanzenschutzmittel kann bei Kontakt mit der Haut (insbesondere des Gesichtes) ein Brennen oder ein Kribbeln hervorrufen, ohne dass äußerlich Reizerscheinungen sichtbar werden. Das Auftreten dieser Stoffwirkungen muss als Warnhinweis angesehen werden, eine weitere Exposition ist unbedingt zu vermeiden. Klingen die Symptome nicht ab oder treten weitere auf, muss ein Arzt aufgesucht werden. </w:t>
            </w:r>
          </w:p>
        </w:tc>
      </w:tr>
      <w:tr w:rsidR="00CD411B" w:rsidRPr="00CD411B">
        <w:tblPrEx>
          <w:tblCellMar>
            <w:top w:w="0" w:type="dxa"/>
            <w:bottom w:w="0" w:type="dxa"/>
          </w:tblCellMar>
        </w:tblPrEx>
        <w:trPr>
          <w:trHeight w:val="315"/>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SB194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Das Präparat kann allergische Nebenwirkungen hervorrufen, die sich in Form von Augenrötung, Hautrötung oder -</w:t>
            </w:r>
            <w:proofErr w:type="spellStart"/>
            <w:r w:rsidRPr="00CD411B">
              <w:rPr>
                <w:rFonts w:ascii="Franklin Gothic Book" w:hAnsi="Franklin Gothic Book" w:cs="Franklin Gothic Book"/>
                <w:color w:val="000000"/>
                <w:sz w:val="20"/>
                <w:szCs w:val="20"/>
              </w:rPr>
              <w:t>ausschlag</w:t>
            </w:r>
            <w:proofErr w:type="spellEnd"/>
            <w:r w:rsidRPr="00CD411B">
              <w:rPr>
                <w:rFonts w:ascii="Franklin Gothic Book" w:hAnsi="Franklin Gothic Book" w:cs="Franklin Gothic Book"/>
                <w:color w:val="000000"/>
                <w:sz w:val="20"/>
                <w:szCs w:val="20"/>
              </w:rPr>
              <w:t xml:space="preserve"> und Atembeschwerden bemerkbar machen können. Personen mit allergischen Reaktionen sollten jede weitere Exposition vermeiden. </w:t>
            </w:r>
          </w:p>
        </w:tc>
      </w:tr>
      <w:tr w:rsidR="00CD411B" w:rsidRPr="00CD411B">
        <w:tblPrEx>
          <w:tblCellMar>
            <w:top w:w="0" w:type="dxa"/>
            <w:bottom w:w="0" w:type="dxa"/>
          </w:tblCellMar>
        </w:tblPrEx>
        <w:trPr>
          <w:trHeight w:val="201"/>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SB195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Für die Ausbringung des Präparates müssen geeignete Geräte bzw. Hilfsmittel verwendet werden. Ein Kontakt mit der Haut ist zu vermeiden.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SE110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r w:rsidRPr="00CD411B">
              <w:rPr>
                <w:rFonts w:ascii="Franklin Gothic Book" w:hAnsi="Franklin Gothic Book" w:cs="Franklin Gothic Book"/>
                <w:color w:val="000000"/>
                <w:sz w:val="20"/>
                <w:szCs w:val="20"/>
              </w:rPr>
              <w:t xml:space="preserve">Dicht abschließende Schutzbrille tragen beim Umgang mit dem unverdünnten Mittel. </w:t>
            </w:r>
          </w:p>
        </w:tc>
      </w:tr>
      <w:tr w:rsidR="00CD411B" w:rsidRPr="00CD411B">
        <w:tblPrEx>
          <w:tblCellMar>
            <w:top w:w="0" w:type="dxa"/>
            <w:bottom w:w="0" w:type="dxa"/>
          </w:tblCellMar>
        </w:tblPrEx>
        <w:trPr>
          <w:trHeight w:val="201"/>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SE120 </w:t>
            </w:r>
          </w:p>
        </w:tc>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Book" w:hAnsi="Franklin Gothic Book" w:cs="Franklin Gothic Book"/>
                <w:color w:val="000000"/>
                <w:sz w:val="20"/>
                <w:szCs w:val="20"/>
              </w:rPr>
              <w:t xml:space="preserve">Dicht abschließende Schutzbrille tragen bei der Ausbringung/Handhabung des anwendungsfertigen Mittels. </w:t>
            </w:r>
          </w:p>
        </w:tc>
      </w:tr>
      <w:tr w:rsidR="00CD411B" w:rsidRPr="00CD411B">
        <w:tblPrEx>
          <w:tblCellMar>
            <w:top w:w="0" w:type="dxa"/>
            <w:bottom w:w="0" w:type="dxa"/>
          </w:tblCellMar>
        </w:tblPrEx>
        <w:trPr>
          <w:trHeight w:val="88"/>
        </w:trPr>
        <w:tc>
          <w:tcPr>
            <w:tcW w:w="5025" w:type="dxa"/>
          </w:tcPr>
          <w:p w:rsidR="00CD411B" w:rsidRPr="00CD411B" w:rsidRDefault="00CD411B" w:rsidP="00CD411B">
            <w:pPr>
              <w:autoSpaceDE w:val="0"/>
              <w:autoSpaceDN w:val="0"/>
              <w:adjustRightInd w:val="0"/>
              <w:spacing w:after="0" w:line="240" w:lineRule="auto"/>
              <w:rPr>
                <w:rFonts w:ascii="Franklin Gothic Demi" w:hAnsi="Franklin Gothic Demi" w:cs="Franklin Gothic Demi"/>
                <w:color w:val="000000"/>
                <w:sz w:val="20"/>
                <w:szCs w:val="20"/>
              </w:rPr>
            </w:pPr>
            <w:r w:rsidRPr="00CD411B">
              <w:rPr>
                <w:rFonts w:ascii="Franklin Gothic Demi" w:hAnsi="Franklin Gothic Demi" w:cs="Franklin Gothic Demi"/>
                <w:color w:val="000000"/>
                <w:sz w:val="20"/>
                <w:szCs w:val="20"/>
              </w:rPr>
              <w:t xml:space="preserve">SE1201 </w:t>
            </w:r>
          </w:p>
        </w:tc>
        <w:tc>
          <w:tcPr>
            <w:tcW w:w="5025" w:type="dxa"/>
          </w:tcPr>
          <w:p w:rsidR="00CD411B" w:rsidRPr="00CD411B" w:rsidRDefault="00CD411B" w:rsidP="00CD411B">
            <w:pPr>
              <w:autoSpaceDE w:val="0"/>
              <w:autoSpaceDN w:val="0"/>
              <w:adjustRightInd w:val="0"/>
              <w:spacing w:after="0" w:line="240" w:lineRule="auto"/>
              <w:rPr>
                <w:rFonts w:ascii="Franklin Gothic Book" w:hAnsi="Franklin Gothic Book" w:cs="Franklin Gothic Book"/>
                <w:color w:val="000000"/>
                <w:sz w:val="20"/>
                <w:szCs w:val="20"/>
              </w:rPr>
            </w:pPr>
            <w:r w:rsidRPr="00CD411B">
              <w:rPr>
                <w:rFonts w:ascii="Franklin Gothic Book" w:hAnsi="Franklin Gothic Book" w:cs="Franklin Gothic Book"/>
                <w:color w:val="000000"/>
                <w:sz w:val="20"/>
                <w:szCs w:val="20"/>
              </w:rPr>
              <w:t xml:space="preserve">Dicht abschließende Schutzbrille tragen bei der Ausbringung/Handhabung des Mittels. </w:t>
            </w:r>
          </w:p>
        </w:tc>
      </w:tr>
    </w:tbl>
    <w:p w:rsidR="0082497E" w:rsidRPr="00CD411B" w:rsidRDefault="0082497E" w:rsidP="00CD411B">
      <w:bookmarkStart w:id="0" w:name="_GoBack"/>
      <w:bookmarkEnd w:id="0"/>
    </w:p>
    <w:sectPr w:rsidR="0082497E" w:rsidRPr="00CD4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EE"/>
    <w:rsid w:val="00241661"/>
    <w:rsid w:val="00347BEE"/>
    <w:rsid w:val="003C0D15"/>
    <w:rsid w:val="00511B52"/>
    <w:rsid w:val="00654328"/>
    <w:rsid w:val="0082450F"/>
    <w:rsid w:val="0082497E"/>
    <w:rsid w:val="008F3F64"/>
    <w:rsid w:val="00CD4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29F95-A8C2-41FA-84C9-224AF247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4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54328"/>
    <w:pPr>
      <w:autoSpaceDE w:val="0"/>
      <w:autoSpaceDN w:val="0"/>
      <w:adjustRightInd w:val="0"/>
      <w:spacing w:after="0" w:line="240" w:lineRule="auto"/>
    </w:pPr>
    <w:rPr>
      <w:rFonts w:ascii="Franklin Gothic Demi" w:hAnsi="Franklin Gothic Demi" w:cs="Franklin Gothic Demi"/>
      <w:color w:val="000000"/>
      <w:sz w:val="24"/>
      <w:szCs w:val="24"/>
    </w:rPr>
  </w:style>
  <w:style w:type="character" w:customStyle="1" w:styleId="berschrift1Zchn">
    <w:name w:val="Überschrift 1 Zchn"/>
    <w:basedOn w:val="Absatz-Standardschriftart"/>
    <w:link w:val="berschrift1"/>
    <w:uiPriority w:val="9"/>
    <w:rsid w:val="008245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5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2369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4</cp:revision>
  <dcterms:created xsi:type="dcterms:W3CDTF">2016-12-03T15:42:00Z</dcterms:created>
  <dcterms:modified xsi:type="dcterms:W3CDTF">2016-12-04T12:20:00Z</dcterms:modified>
</cp:coreProperties>
</file>